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088" w:rsidRPr="007B7088" w:rsidRDefault="007B7088" w:rsidP="007B7088">
      <w:pPr>
        <w:spacing w:before="60" w:after="60" w:line="240" w:lineRule="auto"/>
        <w:jc w:val="both"/>
        <w:rPr>
          <w:rFonts w:cstheme="minorHAnsi"/>
          <w:b/>
          <w:sz w:val="24"/>
          <w:szCs w:val="24"/>
        </w:rPr>
      </w:pPr>
      <w:r w:rsidRPr="007B7088">
        <w:rPr>
          <w:rFonts w:cstheme="minorHAnsi"/>
          <w:b/>
          <w:sz w:val="24"/>
          <w:szCs w:val="24"/>
        </w:rPr>
        <w:t>Περιεχόμενα Έκθεσης Τεκμηρίωσης ΥΓΟΣ</w:t>
      </w:r>
    </w:p>
    <w:p w:rsidR="007B7088" w:rsidRPr="007B7088" w:rsidRDefault="007B7088" w:rsidP="007B7088">
      <w:pPr>
        <w:spacing w:before="60" w:after="60" w:line="240" w:lineRule="auto"/>
        <w:jc w:val="both"/>
        <w:rPr>
          <w:rFonts w:cstheme="minorHAnsi"/>
          <w:lang w:val="en-US"/>
        </w:rPr>
      </w:pPr>
    </w:p>
    <w:p w:rsidR="00DF5137" w:rsidRPr="00DF5137" w:rsidRDefault="00DF5137" w:rsidP="00DF5137">
      <w:pPr>
        <w:pStyle w:val="a3"/>
        <w:numPr>
          <w:ilvl w:val="0"/>
          <w:numId w:val="5"/>
        </w:numPr>
        <w:spacing w:before="60" w:after="60" w:line="240" w:lineRule="auto"/>
        <w:ind w:left="397" w:hanging="397"/>
        <w:jc w:val="both"/>
        <w:rPr>
          <w:rFonts w:cstheme="minorHAnsi"/>
        </w:rPr>
      </w:pPr>
      <w:r w:rsidRPr="00DF5137">
        <w:rPr>
          <w:rFonts w:cstheme="minorHAnsi"/>
        </w:rPr>
        <w:t>Εισαγωγή</w:t>
      </w:r>
    </w:p>
    <w:p w:rsidR="00DF5137" w:rsidRPr="00DF5137" w:rsidRDefault="00DF5137" w:rsidP="00DF5137">
      <w:pPr>
        <w:pStyle w:val="a3"/>
        <w:numPr>
          <w:ilvl w:val="0"/>
          <w:numId w:val="3"/>
        </w:numPr>
        <w:spacing w:before="60" w:after="60" w:line="240" w:lineRule="auto"/>
        <w:ind w:left="794" w:hanging="397"/>
        <w:jc w:val="both"/>
        <w:rPr>
          <w:rFonts w:cstheme="minorHAnsi"/>
        </w:rPr>
      </w:pPr>
      <w:r w:rsidRPr="00DF5137">
        <w:rPr>
          <w:rFonts w:cstheme="minorHAnsi"/>
        </w:rPr>
        <w:t>Στόχος της έκθεσης</w:t>
      </w:r>
    </w:p>
    <w:p w:rsidR="00DF5137" w:rsidRPr="00DF5137" w:rsidRDefault="00DF5137" w:rsidP="00DF5137">
      <w:pPr>
        <w:pStyle w:val="a3"/>
        <w:numPr>
          <w:ilvl w:val="0"/>
          <w:numId w:val="3"/>
        </w:numPr>
        <w:spacing w:before="60" w:after="60" w:line="240" w:lineRule="auto"/>
        <w:ind w:left="794" w:hanging="397"/>
        <w:jc w:val="both"/>
        <w:rPr>
          <w:rFonts w:cstheme="minorHAnsi"/>
        </w:rPr>
      </w:pPr>
      <w:r w:rsidRPr="00DF5137">
        <w:rPr>
          <w:rFonts w:cstheme="minorHAnsi"/>
        </w:rPr>
        <w:t>Συνοπτικές πληροφορίες για την παρεχόμενη ΥΓΟΣ</w:t>
      </w:r>
    </w:p>
    <w:p w:rsidR="00DF5137" w:rsidRPr="00DF5137" w:rsidRDefault="00DF5137" w:rsidP="00DF5137">
      <w:pPr>
        <w:spacing w:before="60" w:after="60" w:line="240" w:lineRule="auto"/>
        <w:jc w:val="both"/>
        <w:rPr>
          <w:rFonts w:cstheme="minorHAnsi"/>
        </w:rPr>
      </w:pPr>
    </w:p>
    <w:p w:rsidR="00DF5137" w:rsidRPr="00DF5137" w:rsidRDefault="00DF5137" w:rsidP="00DF5137">
      <w:pPr>
        <w:pStyle w:val="a3"/>
        <w:numPr>
          <w:ilvl w:val="0"/>
          <w:numId w:val="5"/>
        </w:numPr>
        <w:spacing w:before="60" w:after="60" w:line="240" w:lineRule="auto"/>
        <w:ind w:left="397" w:hanging="397"/>
        <w:jc w:val="both"/>
        <w:rPr>
          <w:rFonts w:cstheme="minorHAnsi"/>
        </w:rPr>
      </w:pPr>
      <w:r w:rsidRPr="00DF5137">
        <w:rPr>
          <w:rFonts w:cstheme="minorHAnsi"/>
        </w:rPr>
        <w:t>Χαρακτηρισμός παρεχόμενης υπηρεσίας ως ΥΓΟΣ</w:t>
      </w:r>
    </w:p>
    <w:p w:rsidR="00DF5137" w:rsidRPr="00DF5137" w:rsidRDefault="00DF5137" w:rsidP="00DF5137">
      <w:pPr>
        <w:pStyle w:val="a3"/>
        <w:numPr>
          <w:ilvl w:val="0"/>
          <w:numId w:val="3"/>
        </w:numPr>
        <w:spacing w:before="60" w:after="60" w:line="240" w:lineRule="auto"/>
        <w:ind w:left="794" w:hanging="397"/>
        <w:jc w:val="both"/>
        <w:rPr>
          <w:rFonts w:cstheme="minorHAnsi"/>
        </w:rPr>
      </w:pPr>
      <w:r w:rsidRPr="00DF5137">
        <w:rPr>
          <w:rFonts w:cstheme="minorHAnsi"/>
        </w:rPr>
        <w:t>Εθνική νομοθεσία που τεκμηριώνει το δημόσιο χαρακτήρα της παρεχόμενης υπηρεσίας (π.χ. νομοθετικό / κανονιστικό πλαίσιο από το οποίο προκύπτει ότι η συλλογή / επεξεργασία / διαχείριση απορριμμάτων έχει καθοριστεί ως υπηρεσία που πρέπει να παρέχει το δημόσιο στους πολίτες στη χώρα, για παράδειγμα νόμος για περιβάλλον ή/και διαχείριση αποβλήτων, προβλέψεις κώδικα δήμων και κοινοτήτων, κλπ.)</w:t>
      </w:r>
    </w:p>
    <w:p w:rsidR="00DF5137" w:rsidRPr="00DF5137" w:rsidRDefault="00DF5137" w:rsidP="00DF5137">
      <w:pPr>
        <w:pStyle w:val="a3"/>
        <w:numPr>
          <w:ilvl w:val="0"/>
          <w:numId w:val="3"/>
        </w:numPr>
        <w:spacing w:before="60" w:after="60" w:line="240" w:lineRule="auto"/>
        <w:ind w:left="794" w:hanging="397"/>
        <w:jc w:val="both"/>
        <w:rPr>
          <w:rFonts w:cstheme="minorHAnsi"/>
        </w:rPr>
      </w:pPr>
      <w:r w:rsidRPr="00DF5137">
        <w:rPr>
          <w:rFonts w:cstheme="minorHAnsi"/>
        </w:rPr>
        <w:t>Συνοπτικά στοιχεία για τον ΠΕΣΔΑ και πως το έργο εντάσσεται στο γενικότερο σχέδιο διαχείρισης αποβλήτων της Περιφέρειας</w:t>
      </w:r>
    </w:p>
    <w:p w:rsidR="00DF5137" w:rsidRPr="00DF5137" w:rsidRDefault="00DF5137" w:rsidP="00DF5137">
      <w:pPr>
        <w:pStyle w:val="a3"/>
        <w:numPr>
          <w:ilvl w:val="0"/>
          <w:numId w:val="3"/>
        </w:numPr>
        <w:spacing w:before="60" w:after="60" w:line="240" w:lineRule="auto"/>
        <w:ind w:left="794" w:hanging="397"/>
        <w:jc w:val="both"/>
        <w:rPr>
          <w:rFonts w:cstheme="minorHAnsi"/>
        </w:rPr>
      </w:pPr>
      <w:r w:rsidRPr="00DF5137">
        <w:rPr>
          <w:rFonts w:cstheme="minorHAnsi"/>
        </w:rPr>
        <w:t xml:space="preserve">Θεσμικό πλαίσιο υποχρεώσεων φορέα που έχει ορισθεί ως </w:t>
      </w:r>
      <w:proofErr w:type="spellStart"/>
      <w:r w:rsidRPr="00DF5137">
        <w:rPr>
          <w:rFonts w:cstheme="minorHAnsi"/>
        </w:rPr>
        <w:t>πάροχος</w:t>
      </w:r>
      <w:proofErr w:type="spellEnd"/>
      <w:r w:rsidRPr="00DF5137">
        <w:rPr>
          <w:rFonts w:cstheme="minorHAnsi"/>
        </w:rPr>
        <w:t>, όσον αφορά στη συγκεκριμένη υπηρεσία που ανατίθεται (π.χ. ΚΥΑ 50910/2727/2003, άρθρο 7, διατάξεις σχετικά με τις υποχρεώσεις των ΦΟΣΔΑ για την αποθήκευση / μεταφόρτωση / αξιοποίηση και διάθεση στερεών αποβλήτων, κπ.)</w:t>
      </w:r>
    </w:p>
    <w:p w:rsidR="00DF5137" w:rsidRPr="00DF5137" w:rsidRDefault="00DF5137" w:rsidP="00DF5137">
      <w:pPr>
        <w:pStyle w:val="a3"/>
        <w:numPr>
          <w:ilvl w:val="0"/>
          <w:numId w:val="3"/>
        </w:numPr>
        <w:spacing w:before="60" w:after="60" w:line="240" w:lineRule="auto"/>
        <w:ind w:left="794" w:hanging="397"/>
        <w:jc w:val="both"/>
        <w:rPr>
          <w:rFonts w:cstheme="minorHAnsi"/>
        </w:rPr>
      </w:pPr>
      <w:r w:rsidRPr="00DF5137">
        <w:rPr>
          <w:rFonts w:cstheme="minorHAnsi"/>
        </w:rPr>
        <w:t>Στο συγκεκριμένο κεφάλαιο πρέπει η παρουσίαση να ξεκινάει από το γενικό πλαίσιο για τον τομέα διαχείρισης αποβλήτων και να καταλήγει στο ειδικό για την υπηρεσία (έργο) και τον φορέα.</w:t>
      </w:r>
    </w:p>
    <w:p w:rsidR="00DF5137" w:rsidRPr="00DF5137" w:rsidRDefault="00DF5137" w:rsidP="00DF5137">
      <w:pPr>
        <w:spacing w:before="60" w:after="60" w:line="240" w:lineRule="auto"/>
        <w:ind w:left="397"/>
        <w:jc w:val="both"/>
        <w:rPr>
          <w:rFonts w:cstheme="minorHAnsi"/>
        </w:rPr>
      </w:pPr>
      <w:r w:rsidRPr="00DF5137">
        <w:rPr>
          <w:rFonts w:cstheme="minorHAnsi"/>
        </w:rPr>
        <w:t>Σημειώνεται ότι έχει διερευνηθεί το εθνικό θεσμικό πλαίσιο και οι ΦΟΣΔΑ δεν έχουν αποκλειστική αρμοδιότητα αλλά υποχρέωση για την επεξεργασία των αστικών στερεών αποβλήτων. Συνεπώς πρέπει να γίνεται αναφορά σε υποχρέωση και όχι αποκλειστική αρμοδιότητα.</w:t>
      </w:r>
    </w:p>
    <w:p w:rsidR="00DF5137" w:rsidRPr="00DF5137" w:rsidRDefault="00DF5137" w:rsidP="00DF5137">
      <w:pPr>
        <w:spacing w:before="60" w:after="60" w:line="240" w:lineRule="auto"/>
        <w:jc w:val="both"/>
        <w:rPr>
          <w:rFonts w:cstheme="minorHAnsi"/>
        </w:rPr>
      </w:pPr>
    </w:p>
    <w:p w:rsidR="00DF5137" w:rsidRPr="00DF5137" w:rsidRDefault="00DF5137" w:rsidP="00212216">
      <w:pPr>
        <w:pStyle w:val="a3"/>
        <w:numPr>
          <w:ilvl w:val="0"/>
          <w:numId w:val="5"/>
        </w:numPr>
        <w:spacing w:before="60" w:after="60" w:line="240" w:lineRule="auto"/>
        <w:ind w:left="397" w:hanging="397"/>
        <w:jc w:val="both"/>
        <w:rPr>
          <w:rFonts w:cstheme="minorHAnsi"/>
        </w:rPr>
      </w:pPr>
      <w:proofErr w:type="spellStart"/>
      <w:r w:rsidRPr="00DF5137">
        <w:rPr>
          <w:rFonts w:cstheme="minorHAnsi"/>
        </w:rPr>
        <w:t>Πάροχος</w:t>
      </w:r>
      <w:proofErr w:type="spellEnd"/>
      <w:r w:rsidRPr="00DF5137">
        <w:rPr>
          <w:rFonts w:cstheme="minorHAnsi"/>
        </w:rPr>
        <w:t xml:space="preserve"> ΥΓΟΣ</w:t>
      </w:r>
    </w:p>
    <w:p w:rsidR="00DF5137" w:rsidRPr="00DF5137" w:rsidRDefault="00DF5137" w:rsidP="00212216">
      <w:pPr>
        <w:pStyle w:val="a3"/>
        <w:numPr>
          <w:ilvl w:val="0"/>
          <w:numId w:val="3"/>
        </w:numPr>
        <w:spacing w:before="60" w:after="60" w:line="240" w:lineRule="auto"/>
        <w:ind w:left="794" w:hanging="397"/>
        <w:jc w:val="both"/>
        <w:rPr>
          <w:rFonts w:cstheme="minorHAnsi"/>
        </w:rPr>
      </w:pPr>
      <w:r w:rsidRPr="00DF5137">
        <w:rPr>
          <w:rFonts w:cstheme="minorHAnsi"/>
        </w:rPr>
        <w:t>Σύντομη παρουσίαση του φορέα στον οποίο ανατίθεται η ΥΓΟΣ (θεσμικό πλαίσιο, ιδρυτικό πλαίσιο / σύσταση φορέα, σύντομη παρουσίαση δραστηριοτήτων, άλλες τυχόν χρήσιμες πληροφορίες)</w:t>
      </w:r>
    </w:p>
    <w:p w:rsidR="00DF5137" w:rsidRPr="00DF5137" w:rsidRDefault="00DF5137" w:rsidP="00DF5137">
      <w:pPr>
        <w:spacing w:before="60" w:after="60" w:line="240" w:lineRule="auto"/>
        <w:jc w:val="both"/>
        <w:rPr>
          <w:rFonts w:cstheme="minorHAnsi"/>
        </w:rPr>
      </w:pPr>
    </w:p>
    <w:p w:rsidR="00DF5137" w:rsidRPr="00DF5137" w:rsidRDefault="00DF5137" w:rsidP="00212216">
      <w:pPr>
        <w:pStyle w:val="a3"/>
        <w:numPr>
          <w:ilvl w:val="0"/>
          <w:numId w:val="5"/>
        </w:numPr>
        <w:spacing w:before="60" w:after="60" w:line="240" w:lineRule="auto"/>
        <w:ind w:left="397" w:hanging="397"/>
        <w:jc w:val="both"/>
        <w:rPr>
          <w:rFonts w:cstheme="minorHAnsi"/>
        </w:rPr>
      </w:pPr>
      <w:r w:rsidRPr="00DF5137">
        <w:rPr>
          <w:rFonts w:cstheme="minorHAnsi"/>
        </w:rPr>
        <w:t>Γεωγραφική περιοχή παρεχόμενης υπηρεσίας</w:t>
      </w:r>
    </w:p>
    <w:p w:rsidR="00DF5137" w:rsidRPr="00DF5137" w:rsidRDefault="00DF5137" w:rsidP="00212216">
      <w:pPr>
        <w:pStyle w:val="a3"/>
        <w:numPr>
          <w:ilvl w:val="0"/>
          <w:numId w:val="3"/>
        </w:numPr>
        <w:spacing w:before="60" w:after="60" w:line="240" w:lineRule="auto"/>
        <w:ind w:left="794" w:hanging="397"/>
        <w:jc w:val="both"/>
        <w:rPr>
          <w:rFonts w:cstheme="minorHAnsi"/>
        </w:rPr>
      </w:pPr>
      <w:r w:rsidRPr="00DF5137">
        <w:rPr>
          <w:rFonts w:cstheme="minorHAnsi"/>
        </w:rPr>
        <w:t>Προσδιορισμός γεωγραφικής περιοχής που καλύπτει η υπηρεσία (π.χ. ποιοι δήμοι καλύπτονται;)</w:t>
      </w:r>
    </w:p>
    <w:p w:rsidR="00DF5137" w:rsidRPr="00DF5137" w:rsidRDefault="00DF5137" w:rsidP="00212216">
      <w:pPr>
        <w:pStyle w:val="a3"/>
        <w:numPr>
          <w:ilvl w:val="0"/>
          <w:numId w:val="3"/>
        </w:numPr>
        <w:spacing w:before="60" w:after="60" w:line="240" w:lineRule="auto"/>
        <w:ind w:left="794" w:hanging="397"/>
        <w:jc w:val="both"/>
        <w:rPr>
          <w:rFonts w:cstheme="minorHAnsi"/>
        </w:rPr>
      </w:pPr>
      <w:r w:rsidRPr="00DF5137">
        <w:rPr>
          <w:rFonts w:cstheme="minorHAnsi"/>
        </w:rPr>
        <w:t>Χάρτης της περιοχής με ένδειξη καλυπτόμενης περιοχής (και, κατά περίπτωση, ένδειξη περιοχής κατασκευής νέας μονάδας)</w:t>
      </w:r>
    </w:p>
    <w:p w:rsidR="00DF5137" w:rsidRPr="00DF5137" w:rsidRDefault="00DF5137" w:rsidP="00212216">
      <w:pPr>
        <w:pStyle w:val="a3"/>
        <w:numPr>
          <w:ilvl w:val="0"/>
          <w:numId w:val="3"/>
        </w:numPr>
        <w:spacing w:before="60" w:after="60" w:line="240" w:lineRule="auto"/>
        <w:ind w:left="794" w:hanging="397"/>
        <w:jc w:val="both"/>
        <w:rPr>
          <w:rFonts w:cstheme="minorHAnsi"/>
        </w:rPr>
      </w:pPr>
      <w:r w:rsidRPr="00DF5137">
        <w:rPr>
          <w:rFonts w:cstheme="minorHAnsi"/>
        </w:rPr>
        <w:t>Ποσοτικά στοιχεία για την έκταση της περιοχής και τον καλυπτόμενο πληθυσμό (π.χ. πίνακας με καλυπτόμενο πληθυσμό ανά δήμο)</w:t>
      </w:r>
    </w:p>
    <w:p w:rsidR="00DF5137" w:rsidRPr="00DF5137" w:rsidRDefault="00DF5137" w:rsidP="00DF5137">
      <w:pPr>
        <w:spacing w:before="60" w:after="60" w:line="240" w:lineRule="auto"/>
        <w:jc w:val="both"/>
        <w:rPr>
          <w:rFonts w:cstheme="minorHAnsi"/>
        </w:rPr>
      </w:pPr>
    </w:p>
    <w:p w:rsidR="00DF5137" w:rsidRPr="00DF5137" w:rsidRDefault="00DF5137" w:rsidP="00212216">
      <w:pPr>
        <w:pStyle w:val="a3"/>
        <w:numPr>
          <w:ilvl w:val="0"/>
          <w:numId w:val="5"/>
        </w:numPr>
        <w:spacing w:before="60" w:after="60" w:line="240" w:lineRule="auto"/>
        <w:ind w:left="397" w:hanging="397"/>
        <w:jc w:val="both"/>
        <w:rPr>
          <w:rFonts w:cstheme="minorHAnsi"/>
        </w:rPr>
      </w:pPr>
      <w:r w:rsidRPr="00DF5137">
        <w:rPr>
          <w:rFonts w:cstheme="minorHAnsi"/>
        </w:rPr>
        <w:t>Διάρκεια παρεχόμενης υπηρεσίας</w:t>
      </w:r>
    </w:p>
    <w:p w:rsidR="00DF5137" w:rsidRPr="00DF5137" w:rsidRDefault="00DF5137" w:rsidP="00212216">
      <w:pPr>
        <w:pStyle w:val="a3"/>
        <w:numPr>
          <w:ilvl w:val="0"/>
          <w:numId w:val="3"/>
        </w:numPr>
        <w:spacing w:before="60" w:after="60" w:line="240" w:lineRule="auto"/>
        <w:ind w:left="794" w:hanging="397"/>
        <w:jc w:val="both"/>
        <w:rPr>
          <w:rFonts w:cstheme="minorHAnsi"/>
        </w:rPr>
      </w:pPr>
      <w:r w:rsidRPr="00DF5137">
        <w:rPr>
          <w:rFonts w:cstheme="minorHAnsi"/>
        </w:rPr>
        <w:t>Χρονική διάρκεια παρεχόμενης υπηρεσίας σε έτη.</w:t>
      </w:r>
    </w:p>
    <w:p w:rsidR="00DF5137" w:rsidRPr="00DF5137" w:rsidRDefault="00DF5137" w:rsidP="00212216">
      <w:pPr>
        <w:spacing w:before="60" w:after="60" w:line="240" w:lineRule="auto"/>
        <w:ind w:left="397"/>
        <w:jc w:val="both"/>
        <w:rPr>
          <w:rFonts w:cstheme="minorHAnsi"/>
        </w:rPr>
      </w:pPr>
      <w:r w:rsidRPr="00DF5137">
        <w:rPr>
          <w:rFonts w:cstheme="minorHAnsi"/>
        </w:rPr>
        <w:t>Προσοχή! Εάν η παρεχόμενη υπηρεσία περιλαμβάνει και την κατασκευή της απαραίτητης υποδομής, η διάρκεια της ΥΓΟΣ υπολογίζεται από την έναρξη της κατασκευής και καλύπτει και όλο το χρονικό ορίζοντα λειτουργίας της έως την απόσβεση της υποδομής (ή, εάν στη χρηματοοικονομική ανάλυση τίθεται μικρότερος χρονικός ορίζοντας με υπολειμματική αξία στο τέλος της περιόδου ανάλυσης, έως και το τελευταίο έτος της χρηματοοικονομικής ανάλυσης).</w:t>
      </w:r>
    </w:p>
    <w:p w:rsidR="00DF5137" w:rsidRPr="00DF5137" w:rsidRDefault="00DF5137" w:rsidP="00212216">
      <w:pPr>
        <w:spacing w:before="60" w:after="60" w:line="240" w:lineRule="auto"/>
        <w:ind w:left="397"/>
        <w:jc w:val="both"/>
        <w:rPr>
          <w:rFonts w:cstheme="minorHAnsi"/>
        </w:rPr>
      </w:pPr>
      <w:r w:rsidRPr="00DF5137">
        <w:rPr>
          <w:rFonts w:cstheme="minorHAnsi"/>
        </w:rPr>
        <w:t xml:space="preserve">Τονίζεται ότι </w:t>
      </w:r>
      <w:proofErr w:type="spellStart"/>
      <w:r w:rsidRPr="00DF5137">
        <w:rPr>
          <w:rFonts w:cstheme="minorHAnsi"/>
        </w:rPr>
        <w:t>καθ΄όλη</w:t>
      </w:r>
      <w:proofErr w:type="spellEnd"/>
      <w:r w:rsidRPr="00DF5137">
        <w:rPr>
          <w:rFonts w:cstheme="minorHAnsi"/>
        </w:rPr>
        <w:t xml:space="preserve"> τη χρονική περίοδο που τίθεται ως διάρκεια παροχής της υπηρεσίας, τα έσοδα και τα έξοδα της υπηρεσίας θα πρέπει να είναι αντικείμενο ελέγχου από τον όργανο επαλήθευσης για την αποφυγή της </w:t>
      </w:r>
      <w:proofErr w:type="spellStart"/>
      <w:r w:rsidRPr="00DF5137">
        <w:rPr>
          <w:rFonts w:cstheme="minorHAnsi"/>
        </w:rPr>
        <w:t>υπεραντιστάθμισης</w:t>
      </w:r>
      <w:proofErr w:type="spellEnd"/>
      <w:r w:rsidRPr="00DF5137">
        <w:rPr>
          <w:rFonts w:cstheme="minorHAnsi"/>
        </w:rPr>
        <w:t>.</w:t>
      </w:r>
    </w:p>
    <w:p w:rsidR="00DF5137" w:rsidRPr="00DF5137" w:rsidRDefault="00DF5137" w:rsidP="00DF5137">
      <w:pPr>
        <w:spacing w:before="60" w:after="60" w:line="240" w:lineRule="auto"/>
        <w:jc w:val="both"/>
        <w:rPr>
          <w:rFonts w:cstheme="minorHAnsi"/>
        </w:rPr>
      </w:pPr>
    </w:p>
    <w:p w:rsidR="00DF5137" w:rsidRPr="00DF5137" w:rsidRDefault="00DF5137" w:rsidP="00212216">
      <w:pPr>
        <w:pStyle w:val="a3"/>
        <w:numPr>
          <w:ilvl w:val="0"/>
          <w:numId w:val="5"/>
        </w:numPr>
        <w:spacing w:before="60" w:after="60" w:line="240" w:lineRule="auto"/>
        <w:ind w:left="397" w:hanging="397"/>
        <w:jc w:val="both"/>
        <w:rPr>
          <w:rFonts w:cstheme="minorHAnsi"/>
        </w:rPr>
      </w:pPr>
      <w:r w:rsidRPr="00DF5137">
        <w:rPr>
          <w:rFonts w:cstheme="minorHAnsi"/>
        </w:rPr>
        <w:t>Αναλυτική περιγραφή παρεχόμενης υπηρεσίας</w:t>
      </w:r>
    </w:p>
    <w:p w:rsidR="00DF5137" w:rsidRPr="00DF5137" w:rsidRDefault="00DF5137" w:rsidP="00212216">
      <w:pPr>
        <w:spacing w:before="60" w:after="60" w:line="240" w:lineRule="auto"/>
        <w:ind w:left="397"/>
        <w:jc w:val="both"/>
        <w:rPr>
          <w:rFonts w:cstheme="minorHAnsi"/>
        </w:rPr>
      </w:pPr>
      <w:r w:rsidRPr="00DF5137">
        <w:rPr>
          <w:rFonts w:cstheme="minorHAnsi"/>
        </w:rPr>
        <w:lastRenderedPageBreak/>
        <w:t>Το πιο σημαντικό κεφάλαιο της έκθεσης – πρέπει να είναι αναλυτικό, να δίνεται έμφαση στην υπηρεσία και όχι την επένδυση για κατασκευή υποδομής και να περιληφθούν όσο το δυνατόν περισσότερες από τις παρακάτω πληροφορίες (βάσει και της διαθεσιμότητας):</w:t>
      </w:r>
    </w:p>
    <w:p w:rsidR="00DF5137" w:rsidRPr="00DF5137" w:rsidRDefault="00DF5137" w:rsidP="00212216">
      <w:pPr>
        <w:pStyle w:val="a3"/>
        <w:numPr>
          <w:ilvl w:val="0"/>
          <w:numId w:val="3"/>
        </w:numPr>
        <w:spacing w:before="60" w:after="60" w:line="240" w:lineRule="auto"/>
        <w:ind w:left="794" w:hanging="397"/>
        <w:jc w:val="both"/>
        <w:rPr>
          <w:rFonts w:cstheme="minorHAnsi"/>
        </w:rPr>
      </w:pPr>
      <w:r w:rsidRPr="00DF5137">
        <w:rPr>
          <w:rFonts w:cstheme="minorHAnsi"/>
        </w:rPr>
        <w:t xml:space="preserve">Συνοπτική παρουσίαση παρεχόμενης υπηρεσίας (υπό μορφή κειμένου ή/και πίνακα με βασικά στοιχεία για δυναμικότητα εγκατάστασης, ανάκτηση ανακυκλώσιμων υλικών, ποσότητες υπολειμμάτων, παραγόμενο </w:t>
      </w:r>
      <w:proofErr w:type="spellStart"/>
      <w:r w:rsidRPr="00DF5137">
        <w:rPr>
          <w:rFonts w:cstheme="minorHAnsi"/>
        </w:rPr>
        <w:t>κομπόστ</w:t>
      </w:r>
      <w:proofErr w:type="spellEnd"/>
      <w:r w:rsidRPr="00DF5137">
        <w:rPr>
          <w:rFonts w:cstheme="minorHAnsi"/>
        </w:rPr>
        <w:t xml:space="preserve"> / βιοαέριο, λειτουργία εγκατάστασης, κλπ.)</w:t>
      </w:r>
    </w:p>
    <w:p w:rsidR="00DF5137" w:rsidRPr="00DF5137" w:rsidRDefault="00DF5137" w:rsidP="00212216">
      <w:pPr>
        <w:spacing w:before="60" w:after="60" w:line="240" w:lineRule="auto"/>
        <w:ind w:left="397"/>
        <w:jc w:val="both"/>
        <w:rPr>
          <w:rFonts w:cstheme="minorHAnsi"/>
        </w:rPr>
      </w:pPr>
      <w:r w:rsidRPr="00DF5137">
        <w:rPr>
          <w:rFonts w:cstheme="minorHAnsi"/>
        </w:rPr>
        <w:t>Προσοχή! Η υπηρεσία είναι π.χ. η επεξεργασία των αποβλήτων και όχι η κατασκευή της υποδομής</w:t>
      </w:r>
    </w:p>
    <w:p w:rsidR="00DF5137" w:rsidRPr="00DF5137" w:rsidRDefault="00DF5137" w:rsidP="00212216">
      <w:pPr>
        <w:pStyle w:val="a3"/>
        <w:numPr>
          <w:ilvl w:val="0"/>
          <w:numId w:val="3"/>
        </w:numPr>
        <w:spacing w:before="60" w:after="60" w:line="240" w:lineRule="auto"/>
        <w:ind w:left="794" w:hanging="397"/>
        <w:jc w:val="both"/>
        <w:rPr>
          <w:rFonts w:cstheme="minorHAnsi"/>
        </w:rPr>
      </w:pPr>
      <w:r w:rsidRPr="00DF5137">
        <w:rPr>
          <w:rFonts w:cstheme="minorHAnsi"/>
        </w:rPr>
        <w:t>Ποσότητες και είδος αποβλήτων στα οποία αφορά η παρεχόμενη υπηρεσία (π.χ. αστικά / οργανικά / πράσινα απόβλητα με ποσότητες, τρόπος συλλογής αποβλήτων και εάν περιλαμβάνεται στην παρεχόμενη ΥΓΟΣ ή όχι, στοιχεία για τις ποσότητες αποβλήτων ανά δήμο, κλπ.)</w:t>
      </w:r>
    </w:p>
    <w:p w:rsidR="00DF5137" w:rsidRPr="00DF5137" w:rsidRDefault="00DF5137" w:rsidP="00212216">
      <w:pPr>
        <w:pStyle w:val="a3"/>
        <w:numPr>
          <w:ilvl w:val="0"/>
          <w:numId w:val="3"/>
        </w:numPr>
        <w:spacing w:before="60" w:after="60" w:line="240" w:lineRule="auto"/>
        <w:ind w:left="794" w:hanging="397"/>
        <w:jc w:val="both"/>
        <w:rPr>
          <w:rFonts w:cstheme="minorHAnsi"/>
        </w:rPr>
      </w:pPr>
      <w:r w:rsidRPr="00DF5137">
        <w:rPr>
          <w:rFonts w:cstheme="minorHAnsi"/>
        </w:rPr>
        <w:t>Χρονικός προσδιορισμός παρεχόμενης υπηρεσίας (π.χ. πίνακας με ώρες / μέρες που παρέχεται η υπηρεσία ανά μήνα ή/και έτος)</w:t>
      </w:r>
    </w:p>
    <w:p w:rsidR="00DF5137" w:rsidRPr="00DF5137" w:rsidRDefault="00DF5137" w:rsidP="00212216">
      <w:pPr>
        <w:pStyle w:val="a3"/>
        <w:numPr>
          <w:ilvl w:val="0"/>
          <w:numId w:val="3"/>
        </w:numPr>
        <w:spacing w:before="60" w:after="60" w:line="240" w:lineRule="auto"/>
        <w:ind w:left="794" w:hanging="397"/>
        <w:jc w:val="both"/>
        <w:rPr>
          <w:rFonts w:cstheme="minorHAnsi"/>
        </w:rPr>
      </w:pPr>
      <w:r w:rsidRPr="00DF5137">
        <w:rPr>
          <w:rFonts w:cstheme="minorHAnsi"/>
        </w:rPr>
        <w:t>Αναλυτική περιγραφή όλων των επιμέρους σταδίων παροχής της υπηρεσίας (σε κάθε στάδιο να περιγράφεται η υπηρεσία, με τυχόν ποσοτικά στοιχεία ή/και διαθέ</w:t>
      </w:r>
      <w:r w:rsidRPr="00DF5137">
        <w:rPr>
          <w:rFonts w:cstheme="minorHAnsi"/>
        </w:rPr>
        <w:t xml:space="preserve">σιμα διαγράμματα – π.χ. είσοδος </w:t>
      </w:r>
      <w:r w:rsidRPr="00DF5137">
        <w:rPr>
          <w:rFonts w:cstheme="minorHAnsi"/>
        </w:rPr>
        <w:t xml:space="preserve">– ζύγιση – μηχανική διαλογή – </w:t>
      </w:r>
      <w:proofErr w:type="spellStart"/>
      <w:r w:rsidRPr="00DF5137">
        <w:rPr>
          <w:rFonts w:cstheme="minorHAnsi"/>
        </w:rPr>
        <w:t>κομποστοποίηση</w:t>
      </w:r>
      <w:proofErr w:type="spellEnd"/>
      <w:r w:rsidRPr="00DF5137">
        <w:rPr>
          <w:rFonts w:cstheme="minorHAnsi"/>
        </w:rPr>
        <w:t xml:space="preserve"> – ωρίμανση, κλπ.)</w:t>
      </w:r>
    </w:p>
    <w:p w:rsidR="00DF5137" w:rsidRPr="00DF5137" w:rsidRDefault="00DF5137" w:rsidP="00212216">
      <w:pPr>
        <w:spacing w:before="60" w:after="60" w:line="240" w:lineRule="auto"/>
        <w:ind w:left="397"/>
        <w:jc w:val="both"/>
        <w:rPr>
          <w:rFonts w:cstheme="minorHAnsi"/>
        </w:rPr>
      </w:pPr>
      <w:r w:rsidRPr="00DF5137">
        <w:rPr>
          <w:rFonts w:cstheme="minorHAnsi"/>
        </w:rPr>
        <w:t>Προσοχή! Πρέπει να περιγράφεται η υπηρεσία και όχι οι μονάδες ή οι τεχνικές λεπτομέρειες γραμμών παραγωγής και εξοπλισμού</w:t>
      </w:r>
    </w:p>
    <w:p w:rsidR="00DF5137" w:rsidRPr="00DF5137" w:rsidRDefault="00DF5137" w:rsidP="00212216">
      <w:pPr>
        <w:pStyle w:val="a3"/>
        <w:numPr>
          <w:ilvl w:val="0"/>
          <w:numId w:val="3"/>
        </w:numPr>
        <w:spacing w:before="60" w:after="60" w:line="240" w:lineRule="auto"/>
        <w:ind w:left="794" w:hanging="397"/>
        <w:jc w:val="both"/>
        <w:rPr>
          <w:rFonts w:cstheme="minorHAnsi"/>
        </w:rPr>
      </w:pPr>
      <w:r w:rsidRPr="00DF5137">
        <w:rPr>
          <w:rFonts w:cstheme="minorHAnsi"/>
        </w:rPr>
        <w:t>Σύντομη περιγραφή υποδομής που είναι απαραίτητη για την παροχή της υπηρεσίας (συνοπτικά στοιχεία για εξοπλισμό, κτιριακές υποδομές, λοιπά τυχόν τεχνικά έργα που είναι αναγκαία για την παροχή της υπηρεσίας)</w:t>
      </w:r>
    </w:p>
    <w:p w:rsidR="00DF5137" w:rsidRPr="00212216" w:rsidRDefault="00DF5137" w:rsidP="00212216">
      <w:pPr>
        <w:pStyle w:val="a3"/>
        <w:numPr>
          <w:ilvl w:val="0"/>
          <w:numId w:val="3"/>
        </w:numPr>
        <w:spacing w:before="60" w:after="60" w:line="240" w:lineRule="auto"/>
        <w:ind w:left="794" w:hanging="397"/>
        <w:jc w:val="both"/>
        <w:rPr>
          <w:rFonts w:cstheme="minorHAnsi"/>
        </w:rPr>
      </w:pPr>
      <w:r w:rsidRPr="00DF5137">
        <w:rPr>
          <w:rFonts w:cstheme="minorHAnsi"/>
        </w:rPr>
        <w:t>Τελικά προϊόντα παρεχόμενης υπηρεσίας, με στοιχεία προβλέψεων ποσοτήτων, εφόσον υφίστανται</w:t>
      </w:r>
      <w:r w:rsidR="00212216" w:rsidRPr="00212216">
        <w:rPr>
          <w:rFonts w:cstheme="minorHAnsi"/>
        </w:rPr>
        <w:t xml:space="preserve"> </w:t>
      </w:r>
      <w:r w:rsidRPr="00212216">
        <w:rPr>
          <w:rFonts w:cstheme="minorHAnsi"/>
        </w:rPr>
        <w:t xml:space="preserve">(π.χ. </w:t>
      </w:r>
      <w:proofErr w:type="spellStart"/>
      <w:r w:rsidRPr="00212216">
        <w:rPr>
          <w:rFonts w:cstheme="minorHAnsi"/>
        </w:rPr>
        <w:t>κομπόστ</w:t>
      </w:r>
      <w:proofErr w:type="spellEnd"/>
      <w:r w:rsidRPr="00212216">
        <w:rPr>
          <w:rFonts w:cstheme="minorHAnsi"/>
        </w:rPr>
        <w:t xml:space="preserve">, χαρτόνι, αλουμίνιο, μέταλλα, </w:t>
      </w:r>
      <w:proofErr w:type="spellStart"/>
      <w:r w:rsidRPr="00212216">
        <w:rPr>
          <w:rFonts w:cstheme="minorHAnsi"/>
        </w:rPr>
        <w:t>υπολλείμματα</w:t>
      </w:r>
      <w:proofErr w:type="spellEnd"/>
      <w:r w:rsidRPr="00212216">
        <w:rPr>
          <w:rFonts w:cstheme="minorHAnsi"/>
        </w:rPr>
        <w:t>, κλπ.)</w:t>
      </w:r>
    </w:p>
    <w:p w:rsidR="00DF5137" w:rsidRPr="00DF5137" w:rsidRDefault="00DF5137" w:rsidP="00212216">
      <w:pPr>
        <w:spacing w:before="60" w:after="60" w:line="240" w:lineRule="auto"/>
        <w:ind w:left="397"/>
        <w:jc w:val="both"/>
        <w:rPr>
          <w:rFonts w:cstheme="minorHAnsi"/>
        </w:rPr>
      </w:pPr>
      <w:r w:rsidRPr="00DF5137">
        <w:rPr>
          <w:rFonts w:cstheme="minorHAnsi"/>
        </w:rPr>
        <w:t>Σημείωση: Δεν πρέπει να ακολουθείται η λογική των υποέργων και υποστηρικτικών ενεργειών που αφορά στην ένταξη του έργου στο ΕΣΠΑ 2014-2020, αλλά η λογική της παροχής μιας υπηρεσίας που τα περιλαμβάνει όλα. Για παράδειγμα, δράσεις ευαισθητοποίησης και δημοσιότητας μπορούν να περιληφθούν ως κομμάτι της παρεχόμενης υπηρεσίας στην αναλυτική περιγραφή όλων των επιμέρους σταδίων παροχής της υπηρεσίας, η αγορά γης να περιληφθεί στην υποδομή που είναι απαραίτητη για την παροχή της υπηρεσίας, η τεχνική υποστήριξη να περιληφθεί μόνο στα έξοδα, κλπ.).</w:t>
      </w:r>
    </w:p>
    <w:p w:rsidR="00DF5137" w:rsidRPr="00DF5137" w:rsidRDefault="00DF5137" w:rsidP="00DF5137">
      <w:pPr>
        <w:spacing w:before="60" w:after="60" w:line="240" w:lineRule="auto"/>
        <w:jc w:val="both"/>
        <w:rPr>
          <w:rFonts w:cstheme="minorHAnsi"/>
        </w:rPr>
      </w:pPr>
    </w:p>
    <w:p w:rsidR="00DF5137" w:rsidRPr="00DF5137" w:rsidRDefault="00DF5137" w:rsidP="00212216">
      <w:pPr>
        <w:pStyle w:val="a3"/>
        <w:numPr>
          <w:ilvl w:val="0"/>
          <w:numId w:val="5"/>
        </w:numPr>
        <w:spacing w:before="60" w:after="60" w:line="240" w:lineRule="auto"/>
        <w:ind w:left="397" w:hanging="397"/>
        <w:jc w:val="both"/>
        <w:rPr>
          <w:rFonts w:cstheme="minorHAnsi"/>
        </w:rPr>
      </w:pPr>
      <w:r w:rsidRPr="00DF5137">
        <w:rPr>
          <w:rFonts w:cstheme="minorHAnsi"/>
        </w:rPr>
        <w:t>Παράμετροι για τον προσδιορισμό της αντιστάθμισης της παρεχόμενης ΥΓΟΣ</w:t>
      </w:r>
    </w:p>
    <w:p w:rsidR="00DF5137" w:rsidRPr="00DF5137" w:rsidRDefault="00DF5137" w:rsidP="00212216">
      <w:pPr>
        <w:pStyle w:val="a3"/>
        <w:numPr>
          <w:ilvl w:val="0"/>
          <w:numId w:val="3"/>
        </w:numPr>
        <w:spacing w:before="60" w:after="60" w:line="240" w:lineRule="auto"/>
        <w:ind w:left="794" w:hanging="397"/>
        <w:jc w:val="both"/>
        <w:rPr>
          <w:rFonts w:cstheme="minorHAnsi"/>
        </w:rPr>
      </w:pPr>
      <w:r w:rsidRPr="00DF5137">
        <w:rPr>
          <w:rFonts w:cstheme="minorHAnsi"/>
        </w:rPr>
        <w:t>Συνοπτικός πίνακας με τις κατηγορίες εσόδων και εξόδων που λαμβάνονται υπόψη για τον προσδιορισμό της αντιστάθμισης (τίτλοι)</w:t>
      </w:r>
    </w:p>
    <w:p w:rsidR="00DF5137" w:rsidRPr="00DF5137" w:rsidRDefault="00DF5137" w:rsidP="00212216">
      <w:pPr>
        <w:pStyle w:val="a3"/>
        <w:numPr>
          <w:ilvl w:val="0"/>
          <w:numId w:val="3"/>
        </w:numPr>
        <w:spacing w:before="60" w:after="60" w:line="240" w:lineRule="auto"/>
        <w:ind w:left="794" w:hanging="397"/>
        <w:jc w:val="both"/>
        <w:rPr>
          <w:rFonts w:cstheme="minorHAnsi"/>
        </w:rPr>
      </w:pPr>
      <w:r w:rsidRPr="00DF5137">
        <w:rPr>
          <w:rFonts w:cstheme="minorHAnsi"/>
        </w:rPr>
        <w:t>Αναλυτική περιγραφή εσόδων – ανά κατηγορία (σε τι αφορά, πως έχει υπολογισθεί – κείμενο και πίνακες με υπολογισμούς)</w:t>
      </w:r>
    </w:p>
    <w:p w:rsidR="00DF5137" w:rsidRPr="00DF5137" w:rsidRDefault="00DF5137" w:rsidP="00212216">
      <w:pPr>
        <w:spacing w:before="60" w:after="60" w:line="240" w:lineRule="auto"/>
        <w:ind w:left="397"/>
        <w:jc w:val="both"/>
        <w:rPr>
          <w:rFonts w:cstheme="minorHAnsi"/>
        </w:rPr>
      </w:pPr>
      <w:r w:rsidRPr="00DF5137">
        <w:rPr>
          <w:rFonts w:cstheme="minorHAnsi"/>
        </w:rPr>
        <w:t>Τα έσοδα περιλαμβάνουν τα τέλη και τα καθαρά έσοδα από τυχόν εμπορικές δραστηριότητες (βλέπε προτεινόμενες κατηγορίες παρακάτω).</w:t>
      </w:r>
    </w:p>
    <w:p w:rsidR="00DF5137" w:rsidRPr="00DF5137" w:rsidRDefault="00DF5137" w:rsidP="00212216">
      <w:pPr>
        <w:spacing w:before="60" w:after="60" w:line="240" w:lineRule="auto"/>
        <w:ind w:left="397"/>
        <w:jc w:val="both"/>
        <w:rPr>
          <w:rFonts w:cstheme="minorHAnsi"/>
        </w:rPr>
      </w:pPr>
      <w:r w:rsidRPr="00DF5137">
        <w:rPr>
          <w:rFonts w:cstheme="minorHAnsi"/>
        </w:rPr>
        <w:t>Προσοχή! Πριν τον προσδιορισμό των τελών, καλό είναι να γίνεται μια διερεύνηση, καθώς τα τέλη εισόδου πρέπει να μη διαφοροποιούνται σημαντικά εντός της χώρας για ομοειδή έργα (αυτό είναι ένα σημείο που η Ευρωπαϊκή Επιτροπή έχει αρχίσει να ελέγχει, κάνοντας συγκρίσεις ακόμα και μεταξύ των Κρατών Μελών).</w:t>
      </w:r>
    </w:p>
    <w:p w:rsidR="00AA2090" w:rsidRPr="00AA2090"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Αναλυτική περιγραφή εξόδων – ανά κατηγορία (σε τι αφορά, πως έχει υπολογισθεί – κείμενο και πίνακες με υπολογισμούς)</w:t>
      </w:r>
      <w:r w:rsidR="00AA2090" w:rsidRPr="00AA2090">
        <w:rPr>
          <w:rFonts w:cstheme="minorHAnsi"/>
        </w:rPr>
        <w:t>.</w:t>
      </w:r>
    </w:p>
    <w:p w:rsidR="00AA2090" w:rsidRPr="00AA2090" w:rsidRDefault="00DF5137" w:rsidP="00AA2090">
      <w:pPr>
        <w:pStyle w:val="a3"/>
        <w:spacing w:before="60" w:after="60" w:line="240" w:lineRule="auto"/>
        <w:ind w:left="794"/>
        <w:jc w:val="both"/>
        <w:rPr>
          <w:rFonts w:cstheme="minorHAnsi"/>
        </w:rPr>
      </w:pPr>
      <w:r w:rsidRPr="00DF5137">
        <w:rPr>
          <w:rFonts w:cstheme="minorHAnsi"/>
        </w:rPr>
        <w:t>Το κόστος επένδυσης / επανεπένδυσης, αγοράς γης, τεχνικού συμβούλου, περιλαμβάνεται στα έξοδα.</w:t>
      </w:r>
    </w:p>
    <w:p w:rsidR="00DF5137" w:rsidRPr="00DF5137" w:rsidRDefault="00DF5137" w:rsidP="00AA2090">
      <w:pPr>
        <w:pStyle w:val="a3"/>
        <w:spacing w:before="60" w:after="60" w:line="240" w:lineRule="auto"/>
        <w:ind w:left="794"/>
        <w:jc w:val="both"/>
        <w:rPr>
          <w:rFonts w:cstheme="minorHAnsi"/>
        </w:rPr>
      </w:pPr>
      <w:r w:rsidRPr="00DF5137">
        <w:rPr>
          <w:rFonts w:cstheme="minorHAnsi"/>
        </w:rPr>
        <w:t>Είναι σημαντικό το κόστος επένδυσης σε υποδομές να συνάδει με την παρουσίαση των επιμέρους σταδίων παροχής της υπηρεσίας, ώστε να τεκμηριώνεται η ανάγκη για την πραγματοποίηση κάθε εξόδου.</w:t>
      </w:r>
    </w:p>
    <w:p w:rsidR="00DF5137" w:rsidRPr="00DF5137"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Συνολικός πίνακας εσόδων – εξόδων, ανά έτος</w:t>
      </w:r>
    </w:p>
    <w:p w:rsidR="00DF5137" w:rsidRPr="00DF5137"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Προσδιορισμός αντιστάθμισης ως συνολικό ποσό (διαφορά συνολικών εξόδων – συνολικών εσόδων) και ως μέσο ετήσιο ποσό.</w:t>
      </w:r>
    </w:p>
    <w:p w:rsidR="00DF5137" w:rsidRPr="00DF5137" w:rsidRDefault="00DF5137" w:rsidP="00AA2090">
      <w:pPr>
        <w:spacing w:before="60" w:after="60" w:line="240" w:lineRule="auto"/>
        <w:ind w:left="397"/>
        <w:jc w:val="both"/>
        <w:rPr>
          <w:rFonts w:cstheme="minorHAnsi"/>
        </w:rPr>
      </w:pPr>
      <w:r w:rsidRPr="00DF5137">
        <w:rPr>
          <w:rFonts w:cstheme="minorHAnsi"/>
        </w:rPr>
        <w:t>Σημείωση: Οι κατηγορίες εσόδων και εξόδων που περιγράφονται στην έκθεση πρέπει να συνάδουν με αυτές που προβλέπονται στην χρηματοοικονομική ανάλυση που υποβάλλεται για την ένταξη του έργου στο ΕΣΠΑ 2014-2020. Οι παραδοχές για την εκπόνηση της χρηματοοικονομικής ανάλυσης μπορούν να περιληφθούν μέσα στην έκθεση ΥΓΟΣ (π.χ. επιτόκιο προεξόφλησης, τιμές ανάλυσης, κλπ.), καθώς αποτελούν τη βάση για τους οικονομικούς υπολογισμούς για τον προσδιορισμό της αντιστάθμισης.</w:t>
      </w:r>
    </w:p>
    <w:p w:rsidR="00DF5137" w:rsidRPr="00DF5137" w:rsidRDefault="00DF5137" w:rsidP="00AA2090">
      <w:pPr>
        <w:spacing w:before="60" w:after="60" w:line="240" w:lineRule="auto"/>
        <w:ind w:left="397"/>
        <w:jc w:val="both"/>
        <w:rPr>
          <w:rFonts w:cstheme="minorHAnsi"/>
        </w:rPr>
      </w:pPr>
      <w:r w:rsidRPr="00DF5137">
        <w:rPr>
          <w:rFonts w:cstheme="minorHAnsi"/>
        </w:rPr>
        <w:t>Μπορούν στο κεφάλαιο αυτό να χρησιμοποιηθούν στοιχεία από τους πίνακες της χρηματοοικονομικής ανάλυσης, αλλά πρέπει η παρουσίαση να προσαρμοστεί στις ανάγκες προσδιορισμού της αντιστάθμισης (π.χ. μόνο έσοδα και έξοδα και όχι διακριτή στήλη για το κόστος επένδυσης, ο πίνακας προεξοφλημένων καθαρών εσόδων δεν αφορά στον προσδιορισμό της αντιστάθμισης και προτείνεται να μην περιληφθεί στην έκθεση ΥΓΟΣ, κλπ.).</w:t>
      </w:r>
    </w:p>
    <w:p w:rsidR="00DF5137" w:rsidRPr="00DF5137" w:rsidRDefault="00DF5137" w:rsidP="00AA2090">
      <w:pPr>
        <w:spacing w:before="60" w:after="60" w:line="240" w:lineRule="auto"/>
        <w:ind w:left="397"/>
        <w:jc w:val="both"/>
        <w:rPr>
          <w:rFonts w:cstheme="minorHAnsi"/>
        </w:rPr>
      </w:pPr>
      <w:r w:rsidRPr="00DF5137">
        <w:rPr>
          <w:rFonts w:cstheme="minorHAnsi"/>
        </w:rPr>
        <w:t>Εάν υπάρχει τμήμα του έργου που δεν εντάσσεται στην παρεχόμενη ΥΓΟΣ και αφορά σε κρατική ενίσχυση βάσει ΓΑΚ (π.χ. παραγωγή βιοαερίου), ως έσοδο για την ΥΓΟΣ υπολογίζονται τα καθαρά έσοδα π.χ. από την πώληση βιοαερίου, ήτοι:</w:t>
      </w:r>
    </w:p>
    <w:p w:rsidR="00DF5137" w:rsidRPr="00DF5137" w:rsidRDefault="00DF5137" w:rsidP="00AA2090">
      <w:pPr>
        <w:spacing w:before="60" w:after="60" w:line="240" w:lineRule="auto"/>
        <w:ind w:left="397"/>
        <w:jc w:val="both"/>
        <w:rPr>
          <w:rFonts w:cstheme="minorHAnsi"/>
        </w:rPr>
      </w:pPr>
      <w:r w:rsidRPr="00DF5137">
        <w:rPr>
          <w:rFonts w:cstheme="minorHAnsi"/>
        </w:rPr>
        <w:t>καθαρά έσοδα ΓΑΚ = έσοδα από εκμετάλλευση τμήματος ΓΑΚ – λειτουργικά έξοδα τμήματος ΓΑΚ.</w:t>
      </w:r>
    </w:p>
    <w:p w:rsidR="00DF5137" w:rsidRPr="00DF5137" w:rsidRDefault="00DF5137" w:rsidP="00AA2090">
      <w:pPr>
        <w:spacing w:before="60" w:after="60" w:line="240" w:lineRule="auto"/>
        <w:ind w:left="397"/>
        <w:jc w:val="both"/>
        <w:rPr>
          <w:rFonts w:cstheme="minorHAnsi"/>
        </w:rPr>
      </w:pPr>
      <w:r w:rsidRPr="00DF5137">
        <w:rPr>
          <w:rFonts w:cstheme="minorHAnsi"/>
        </w:rPr>
        <w:t>Σύμφωνα με τον ΓΑΚ, άρθρο 1, παρ. 39, τα καθαρά έσοδα ορίζονται ως «κέρδος εκμετάλλευσης» ως εξής: η διαφορά μεταξύ των προεξοφλημένων εσόδων και των προεξοφλημένων δαπανών λειτουργίας κατά τη διάρκεια ζωής της επένδυσης, όταν η διαφορά αυτή είναι θετική. Στις δαπάνες λειτουργίας περιλαμβάνονται οι δαπάνες προσωπικού, υλικών, υπηρεσιών που ανατίθενται σε τρίτους, επικοινωνίας, ενέργειας, συντήρησης, μισθωμάτων, διοίκησης, αλλά δεν περιλαμβάνονται, για τους σκοπούς του παρόντος κανονισμού, αποσβέσεις και έξοδα χρηματοδότησης, εάν αυτά έχουν καλυφθεί από επενδυτική ενίσχυση».</w:t>
      </w:r>
    </w:p>
    <w:p w:rsidR="00DF5137" w:rsidRPr="00DF5137" w:rsidRDefault="00DF5137" w:rsidP="00AA2090">
      <w:pPr>
        <w:spacing w:before="60" w:after="60" w:line="240" w:lineRule="auto"/>
        <w:ind w:left="397"/>
        <w:jc w:val="both"/>
        <w:rPr>
          <w:rFonts w:cstheme="minorHAnsi"/>
        </w:rPr>
      </w:pPr>
      <w:r w:rsidRPr="00DF5137">
        <w:rPr>
          <w:rFonts w:cstheme="minorHAnsi"/>
        </w:rPr>
        <w:t>Αντιστοίχως, τα έξοδα για την παροχή της ΥΓΟΣ πρέπει να περιλαμβάνουν μόνο τις δαπάνες για την παροχή της υπηρεσίας (μόνο το προσωπικό που εργάζεται για την παροχή της ΥΓΟΣ, ηλεκτρική ενέργεια μόνο για την παροχή της ΥΓΟΣ και όχι για την παραγωγή βιοαερίου, κόστος αγοράς γης ή τεχνικού συμβούλου μόνο για την ΥΓΟΣ, κλπ.). Χρειάζεται προσοχή στον προσδιορισμό εσόδων και εξόδων (κατηγορίες και ποσοτικοποίηση), καθώς πρέπει τα στοιχεία να είναι συγκρίσιμα σε επίπεδο χώρας, δεδομένου ότι σε περίπτωση ελέγχου θα πρέπει οι τυχόν διαφορές να μπορούν να τεκμηριωθούν.</w:t>
      </w:r>
    </w:p>
    <w:p w:rsidR="00DF5137" w:rsidRPr="00DF5137" w:rsidRDefault="00DF5137" w:rsidP="00AA2090">
      <w:pPr>
        <w:spacing w:before="60" w:after="60" w:line="240" w:lineRule="auto"/>
        <w:ind w:left="397"/>
        <w:jc w:val="both"/>
        <w:rPr>
          <w:rFonts w:cstheme="minorHAnsi"/>
        </w:rPr>
      </w:pPr>
      <w:r w:rsidRPr="00DF5137">
        <w:rPr>
          <w:rFonts w:cstheme="minorHAnsi"/>
        </w:rPr>
        <w:t>Για παράδειγμα (πρόταση ΕΥΚΕ σε συνεργασία με την ΕΥΔ ΥΜΕΠΕΡΑΑ): Παράμετροι υπολογισμού και ελέγχου της αντιστάθμισης για την παροχή ΥΓΟΣ</w:t>
      </w:r>
    </w:p>
    <w:p w:rsidR="00DF5137" w:rsidRPr="00DF5137" w:rsidRDefault="00DF5137" w:rsidP="00AA2090">
      <w:pPr>
        <w:spacing w:before="60" w:after="60" w:line="240" w:lineRule="auto"/>
        <w:ind w:left="397"/>
        <w:jc w:val="both"/>
        <w:rPr>
          <w:rFonts w:cstheme="minorHAnsi"/>
        </w:rPr>
      </w:pPr>
      <w:r w:rsidRPr="00DF5137">
        <w:rPr>
          <w:rFonts w:cstheme="minorHAnsi"/>
        </w:rPr>
        <w:t>Η αντιστάθμιση που χορηγείται για την παρεχόμενη υπηρεσία περιορίζεται στο μέτρο του αναγκαίου για την κάλυψη του συνόλου ή μέρους των δαπανών που πραγματοποιούνται για την εκπλήρωση υποχρέωσης παροχής της καθορισμένης Υ.Γ.Ο.Σ., λαμβανομένων υπόψη των σχετικών εκτιμώμενων εσόδων. Οι παράμετροι υπολογισμού της αντιστάθμισης περιλαμβάνουν (ενδεικτικά) τις εξής κατηγορίες εσόδων – εξόδων:</w:t>
      </w:r>
    </w:p>
    <w:p w:rsidR="00DF5137" w:rsidRPr="00DF5137" w:rsidRDefault="00DF5137" w:rsidP="00AA2090">
      <w:pPr>
        <w:spacing w:before="60" w:after="60" w:line="240" w:lineRule="auto"/>
        <w:ind w:left="397"/>
        <w:jc w:val="both"/>
        <w:rPr>
          <w:rFonts w:cstheme="minorHAnsi"/>
        </w:rPr>
      </w:pPr>
      <w:r w:rsidRPr="00DF5137">
        <w:rPr>
          <w:rFonts w:cstheme="minorHAnsi"/>
        </w:rPr>
        <w:t>Κατηγορίες Εξόδων</w:t>
      </w:r>
    </w:p>
    <w:p w:rsidR="00DF5137" w:rsidRPr="00AA2090"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Δαπάνες εξοπλισμού (υποδομή απαραίτητη για τη διαχείριση της ΥΓΟΣ)</w:t>
      </w:r>
    </w:p>
    <w:p w:rsidR="00DF5137" w:rsidRPr="00DF5137"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Δαπάνες επανεπενδύσεων</w:t>
      </w:r>
    </w:p>
    <w:p w:rsidR="00DF5137" w:rsidRPr="00DF5137"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Μισθοδοσία προσωπικού λειτουργίας &amp; διοίκησης</w:t>
      </w:r>
    </w:p>
    <w:p w:rsidR="00DF5137" w:rsidRPr="00DF5137"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Συντήρηση / Δαπάνες αντικατάστασης (επανεπενδύσεις ως δαπάνες)</w:t>
      </w:r>
    </w:p>
    <w:p w:rsidR="00DF5137" w:rsidRPr="00DF5137"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Ενέργεια</w:t>
      </w:r>
    </w:p>
    <w:p w:rsidR="00DF5137" w:rsidRPr="00DF5137"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Καύσιμα</w:t>
      </w:r>
    </w:p>
    <w:p w:rsidR="00DF5137" w:rsidRPr="00DF5137"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Περιβαλλοντική παρακολούθηση</w:t>
      </w:r>
    </w:p>
    <w:p w:rsidR="00DF5137" w:rsidRPr="00DF5137"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Λοιπές δαπάνες (ασφάλιση έργου, παροχές, υγιεινή &amp; ασφάλεια, διάθεση υπολειμμάτων)</w:t>
      </w:r>
    </w:p>
    <w:p w:rsidR="00DF5137" w:rsidRPr="00DF5137" w:rsidRDefault="00DF5137" w:rsidP="00DF5137">
      <w:pPr>
        <w:spacing w:before="60" w:after="60" w:line="240" w:lineRule="auto"/>
        <w:jc w:val="both"/>
        <w:rPr>
          <w:rFonts w:cstheme="minorHAnsi"/>
        </w:rPr>
      </w:pPr>
    </w:p>
    <w:p w:rsidR="00DF5137" w:rsidRPr="00DF5137" w:rsidRDefault="00DF5137" w:rsidP="00AA2090">
      <w:pPr>
        <w:spacing w:before="60" w:after="60" w:line="240" w:lineRule="auto"/>
        <w:ind w:left="397"/>
        <w:jc w:val="both"/>
        <w:rPr>
          <w:rFonts w:cstheme="minorHAnsi"/>
        </w:rPr>
      </w:pPr>
      <w:r w:rsidRPr="00DF5137">
        <w:rPr>
          <w:rFonts w:cstheme="minorHAnsi"/>
        </w:rPr>
        <w:t>Κατηγορίες Εσόδων (ανάλογα με εργασία διαχείρισης (συλλογή/ανάκτηση/</w:t>
      </w:r>
      <w:proofErr w:type="spellStart"/>
      <w:r w:rsidRPr="00DF5137">
        <w:rPr>
          <w:rFonts w:cstheme="minorHAnsi"/>
        </w:rPr>
        <w:t>διάθεσ</w:t>
      </w:r>
      <w:proofErr w:type="spellEnd"/>
      <w:r w:rsidRPr="00DF5137">
        <w:rPr>
          <w:rFonts w:cstheme="minorHAnsi"/>
        </w:rPr>
        <w:t>η) &amp; τεχνολογία) o Έσοδα από Τέλη Χρήσης (προς επίτευξη θετικών ετήσιων καθαρών ταμειακών ροών)</w:t>
      </w:r>
    </w:p>
    <w:p w:rsidR="00DF5137" w:rsidRPr="00DF5137"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 xml:space="preserve">Έσοδα από την πώληση </w:t>
      </w:r>
      <w:proofErr w:type="spellStart"/>
      <w:r w:rsidRPr="00DF5137">
        <w:rPr>
          <w:rFonts w:cstheme="minorHAnsi"/>
        </w:rPr>
        <w:t>Compost</w:t>
      </w:r>
      <w:proofErr w:type="spellEnd"/>
      <w:r w:rsidRPr="00DF5137">
        <w:rPr>
          <w:rFonts w:cstheme="minorHAnsi"/>
        </w:rPr>
        <w:t xml:space="preserve"> o Έσοδα από διάθεση CLO</w:t>
      </w:r>
    </w:p>
    <w:p w:rsidR="00DF5137" w:rsidRPr="00DF5137"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Έσοδα από πώληση Υλικών Ανακύκλωσης</w:t>
      </w:r>
    </w:p>
    <w:p w:rsidR="00DF5137" w:rsidRPr="00DF5137"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Έσοδα από πώληση Ενέργειας</w:t>
      </w:r>
    </w:p>
    <w:p w:rsidR="00DF5137" w:rsidRPr="00DF5137" w:rsidRDefault="00DF5137" w:rsidP="00DF5137">
      <w:pPr>
        <w:spacing w:before="60" w:after="60" w:line="240" w:lineRule="auto"/>
        <w:jc w:val="both"/>
        <w:rPr>
          <w:rFonts w:cstheme="minorHAnsi"/>
        </w:rPr>
      </w:pPr>
    </w:p>
    <w:p w:rsidR="00DF5137" w:rsidRPr="00DF5137" w:rsidRDefault="00DF5137" w:rsidP="00AA2090">
      <w:pPr>
        <w:pStyle w:val="a3"/>
        <w:numPr>
          <w:ilvl w:val="0"/>
          <w:numId w:val="5"/>
        </w:numPr>
        <w:spacing w:before="60" w:after="60" w:line="240" w:lineRule="auto"/>
        <w:ind w:left="397" w:hanging="397"/>
        <w:jc w:val="both"/>
        <w:rPr>
          <w:rFonts w:cstheme="minorHAnsi"/>
        </w:rPr>
      </w:pPr>
      <w:r w:rsidRPr="00DF5137">
        <w:rPr>
          <w:rFonts w:cstheme="minorHAnsi"/>
        </w:rPr>
        <w:t xml:space="preserve">Μηχανισμός αποφυγής της </w:t>
      </w:r>
      <w:proofErr w:type="spellStart"/>
      <w:r w:rsidRPr="00DF5137">
        <w:rPr>
          <w:rFonts w:cstheme="minorHAnsi"/>
        </w:rPr>
        <w:t>υπεραντιστάθμισης</w:t>
      </w:r>
      <w:proofErr w:type="spellEnd"/>
    </w:p>
    <w:p w:rsidR="00DF5137" w:rsidRPr="00DF5137"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Παράμετροι που θα ελέγχει το όργανο επαλήθευσης (ποια στοιχεία ΥΓΟΣ και ποιες κατηγορίες εσόδων / εξόδων, σύμφωνα με όσα έχουν αναφερθεί στα προηγούμενα κεφάλαια)</w:t>
      </w:r>
    </w:p>
    <w:p w:rsidR="00DF5137" w:rsidRPr="00DF5137"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Διαδικασία επαλήθευσης ύψους αντιστάθμισης (κάθε πότε θα γίνεται έλεγχος των παραμέτρων, ποιος συλλέγει τα στοιχεία, που τα υποβάλλει, κλπ.)</w:t>
      </w:r>
    </w:p>
    <w:p w:rsidR="00DF5137" w:rsidRPr="00DF5137"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Όργανο ελέγχου επαλήθευσης (ποιο είναι το όργανο, πως προσδιορίστηκε, τι ακριβώς κάνει κατά την επαλήθευση)</w:t>
      </w:r>
    </w:p>
    <w:p w:rsidR="00DF5137" w:rsidRPr="00DF5137"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 xml:space="preserve">Περιγραφή μηχανισμού ανάκτησης </w:t>
      </w:r>
      <w:proofErr w:type="spellStart"/>
      <w:r w:rsidRPr="00DF5137">
        <w:rPr>
          <w:rFonts w:cstheme="minorHAnsi"/>
        </w:rPr>
        <w:t>υπεραντιστάθμισης</w:t>
      </w:r>
      <w:proofErr w:type="spellEnd"/>
    </w:p>
    <w:p w:rsidR="00DF5137" w:rsidRPr="00DF5137" w:rsidRDefault="00DF5137" w:rsidP="00AA2090">
      <w:pPr>
        <w:spacing w:before="60" w:after="60" w:line="240" w:lineRule="auto"/>
        <w:ind w:left="397"/>
        <w:jc w:val="both"/>
        <w:rPr>
          <w:rFonts w:cstheme="minorHAnsi"/>
        </w:rPr>
      </w:pPr>
      <w:r w:rsidRPr="00DF5137">
        <w:rPr>
          <w:rFonts w:cstheme="minorHAnsi"/>
        </w:rPr>
        <w:t xml:space="preserve">Σημείωση: Καθώς στη παρούσα χρονική στιγμή δεν έχει προσδιοριστεί οριζόντια το όργανο επαλήθευσης, ούτε και υπάρχει πρόταση για μηχανισμό ανάκτησης, εάν ο φορέας έχει δυνατότητες αναπροσαρμογής των τελών έτσι ώστε να μην προκύπτει </w:t>
      </w:r>
      <w:proofErr w:type="spellStart"/>
      <w:r w:rsidRPr="00DF5137">
        <w:rPr>
          <w:rFonts w:cstheme="minorHAnsi"/>
        </w:rPr>
        <w:t>υπεραντιστάθμιση</w:t>
      </w:r>
      <w:proofErr w:type="spellEnd"/>
      <w:r w:rsidRPr="00DF5137">
        <w:rPr>
          <w:rFonts w:cstheme="minorHAnsi"/>
        </w:rPr>
        <w:t>, καλό είναι να το αναφέρει αυτό, μαζί με το σχετικό νομικό / κανονιστικό πλαίσιο.</w:t>
      </w:r>
    </w:p>
    <w:p w:rsidR="00DF5137" w:rsidRPr="00DF5137" w:rsidRDefault="00DF5137" w:rsidP="00AA2090">
      <w:pPr>
        <w:spacing w:before="60" w:after="60" w:line="240" w:lineRule="auto"/>
        <w:ind w:left="397"/>
        <w:jc w:val="both"/>
        <w:rPr>
          <w:rFonts w:cstheme="minorHAnsi"/>
        </w:rPr>
      </w:pPr>
      <w:r w:rsidRPr="00DF5137">
        <w:rPr>
          <w:rFonts w:cstheme="minorHAnsi"/>
        </w:rPr>
        <w:t xml:space="preserve">Για παράδειγμα (πρόταση ΕΥΚΕ σε συνεργασία με την ΕΥΔ ΥΜΕΠΕΡΑΑ): Μηχανισμός παρακολούθησης </w:t>
      </w:r>
      <w:proofErr w:type="spellStart"/>
      <w:r w:rsidRPr="00DF5137">
        <w:rPr>
          <w:rFonts w:cstheme="minorHAnsi"/>
        </w:rPr>
        <w:t>υπεραντιστάθμισης</w:t>
      </w:r>
      <w:proofErr w:type="spellEnd"/>
    </w:p>
    <w:p w:rsidR="00DF5137" w:rsidRPr="00DF5137" w:rsidRDefault="00DF5137" w:rsidP="00AA2090">
      <w:pPr>
        <w:spacing w:before="60" w:after="60" w:line="240" w:lineRule="auto"/>
        <w:ind w:left="397"/>
        <w:jc w:val="both"/>
        <w:rPr>
          <w:rFonts w:cstheme="minorHAnsi"/>
        </w:rPr>
      </w:pPr>
      <w:r w:rsidRPr="00DF5137">
        <w:rPr>
          <w:rFonts w:cstheme="minorHAnsi"/>
        </w:rPr>
        <w:lastRenderedPageBreak/>
        <w:t>Παράμετροι που επαληθεύονται για τον έλεγχο και την αναθεώρηση της αντιστάθμισης:</w:t>
      </w:r>
    </w:p>
    <w:p w:rsidR="00DF5137" w:rsidRPr="00DF5137" w:rsidRDefault="00DF5137" w:rsidP="00AA2090">
      <w:pPr>
        <w:pStyle w:val="a3"/>
        <w:numPr>
          <w:ilvl w:val="0"/>
          <w:numId w:val="3"/>
        </w:numPr>
        <w:spacing w:before="60" w:after="60" w:line="240" w:lineRule="auto"/>
        <w:ind w:left="794" w:hanging="397"/>
        <w:jc w:val="both"/>
        <w:rPr>
          <w:rFonts w:cstheme="minorHAnsi"/>
        </w:rPr>
      </w:pPr>
      <w:proofErr w:type="spellStart"/>
      <w:r w:rsidRPr="00DF5137">
        <w:rPr>
          <w:rFonts w:cstheme="minorHAnsi"/>
        </w:rPr>
        <w:t>Πάροχος</w:t>
      </w:r>
      <w:proofErr w:type="spellEnd"/>
      <w:r w:rsidRPr="00DF5137">
        <w:rPr>
          <w:rFonts w:cstheme="minorHAnsi"/>
        </w:rPr>
        <w:t xml:space="preserve"> ΥΓΟΣ</w:t>
      </w:r>
    </w:p>
    <w:p w:rsidR="00DF5137" w:rsidRPr="00DF5137"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Περιεχόμενο &amp; Διάρκεια ΥΓΟΣ</w:t>
      </w:r>
    </w:p>
    <w:p w:rsidR="00DF5137" w:rsidRPr="00DF5137"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Γεωγραφική περιοχή εξυπηρέτησης</w:t>
      </w:r>
    </w:p>
    <w:p w:rsidR="00DF5137" w:rsidRPr="00DF5137"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Δραστηριότητες εκτός ΥΓΟΣ</w:t>
      </w:r>
    </w:p>
    <w:p w:rsidR="00DF5137" w:rsidRPr="00DF5137" w:rsidRDefault="00DF5137" w:rsidP="00AA2090">
      <w:pPr>
        <w:pStyle w:val="a3"/>
        <w:numPr>
          <w:ilvl w:val="0"/>
          <w:numId w:val="3"/>
        </w:numPr>
        <w:spacing w:before="60" w:after="60" w:line="240" w:lineRule="auto"/>
        <w:ind w:left="794" w:hanging="397"/>
        <w:jc w:val="both"/>
        <w:rPr>
          <w:rFonts w:cstheme="minorHAnsi"/>
        </w:rPr>
      </w:pPr>
      <w:r w:rsidRPr="00DF5137">
        <w:rPr>
          <w:rFonts w:cstheme="minorHAnsi"/>
        </w:rPr>
        <w:t>Ετήσιο ύψος αντιστάθμισης ΥΓΟΣ, ήτοι Έσοδα/έξοδα (συμπεριλαμβανομένων επανεπενδύσεων)</w:t>
      </w:r>
    </w:p>
    <w:p w:rsidR="00DF5137" w:rsidRPr="00DF5137" w:rsidRDefault="00DF5137" w:rsidP="00AA2090">
      <w:pPr>
        <w:spacing w:before="60" w:after="60" w:line="240" w:lineRule="auto"/>
        <w:ind w:left="397"/>
        <w:jc w:val="both"/>
        <w:rPr>
          <w:rFonts w:cstheme="minorHAnsi"/>
        </w:rPr>
      </w:pPr>
      <w:r w:rsidRPr="00DF5137">
        <w:rPr>
          <w:rFonts w:cstheme="minorHAnsi"/>
        </w:rPr>
        <w:t>Διαδικασία επαλήθευσης ύψους αντιστάθμισης:</w:t>
      </w:r>
    </w:p>
    <w:p w:rsidR="00DF5137" w:rsidRPr="00DF5137" w:rsidRDefault="00DF5137" w:rsidP="00AA2090">
      <w:pPr>
        <w:spacing w:before="60" w:after="60" w:line="240" w:lineRule="auto"/>
        <w:ind w:left="397"/>
        <w:jc w:val="both"/>
        <w:rPr>
          <w:rFonts w:cstheme="minorHAnsi"/>
        </w:rPr>
      </w:pPr>
      <w:r w:rsidRPr="00DF5137">
        <w:rPr>
          <w:rFonts w:cstheme="minorHAnsi"/>
        </w:rPr>
        <w:t xml:space="preserve">Σε ετήσια βάση συλλέγονται από τον </w:t>
      </w:r>
      <w:proofErr w:type="spellStart"/>
      <w:r w:rsidRPr="00DF5137">
        <w:rPr>
          <w:rFonts w:cstheme="minorHAnsi"/>
        </w:rPr>
        <w:t>πάροχο</w:t>
      </w:r>
      <w:proofErr w:type="spellEnd"/>
      <w:r w:rsidRPr="00DF5137">
        <w:rPr>
          <w:rFonts w:cstheme="minorHAnsi"/>
        </w:rPr>
        <w:t xml:space="preserve"> της ΥΓΟΣ και αποστέλλονται, έως 31 Μαρτίου κάθε έτους, στο αρμόδιο όργανο επαλήθευσης, με κοινοποίηση στην αρμόδια Ειδική Υπηρεσία Διαχείρισης, στοιχεία που περιλαμβάνουν κατ’ ελάχιστον τα ακόλουθα:</w:t>
      </w:r>
    </w:p>
    <w:p w:rsidR="00DF5137" w:rsidRPr="00BE483E" w:rsidRDefault="00DF5137" w:rsidP="00BE483E">
      <w:pPr>
        <w:pStyle w:val="a3"/>
        <w:numPr>
          <w:ilvl w:val="0"/>
          <w:numId w:val="6"/>
        </w:numPr>
        <w:spacing w:before="60" w:after="60" w:line="240" w:lineRule="auto"/>
        <w:ind w:left="794" w:hanging="397"/>
        <w:jc w:val="both"/>
        <w:rPr>
          <w:rFonts w:cstheme="minorHAnsi"/>
        </w:rPr>
      </w:pPr>
      <w:r w:rsidRPr="00BE483E">
        <w:rPr>
          <w:rFonts w:cstheme="minorHAnsi"/>
        </w:rPr>
        <w:t xml:space="preserve">Στοιχεία </w:t>
      </w:r>
      <w:proofErr w:type="spellStart"/>
      <w:r w:rsidRPr="00BE483E">
        <w:rPr>
          <w:rFonts w:cstheme="minorHAnsi"/>
        </w:rPr>
        <w:t>παρόχου</w:t>
      </w:r>
      <w:proofErr w:type="spellEnd"/>
      <w:r w:rsidRPr="00BE483E">
        <w:rPr>
          <w:rFonts w:cstheme="minorHAnsi"/>
        </w:rPr>
        <w:t xml:space="preserve"> ΥΓΟΣ &amp; πλαίσιο αρμοδιοτήτων</w:t>
      </w:r>
    </w:p>
    <w:p w:rsidR="00DF5137" w:rsidRPr="00BE483E" w:rsidRDefault="00DF5137" w:rsidP="00BE483E">
      <w:pPr>
        <w:pStyle w:val="a3"/>
        <w:numPr>
          <w:ilvl w:val="0"/>
          <w:numId w:val="6"/>
        </w:numPr>
        <w:spacing w:before="60" w:after="60" w:line="240" w:lineRule="auto"/>
        <w:ind w:left="794" w:hanging="397"/>
        <w:jc w:val="both"/>
        <w:rPr>
          <w:rFonts w:cstheme="minorHAnsi"/>
        </w:rPr>
      </w:pPr>
      <w:r w:rsidRPr="00BE483E">
        <w:rPr>
          <w:rFonts w:cstheme="minorHAnsi"/>
        </w:rPr>
        <w:t>Εξυπηρετούμενοι χρήστες / γεωγραφική περιοχή</w:t>
      </w:r>
    </w:p>
    <w:p w:rsidR="00DF5137" w:rsidRPr="00BE483E" w:rsidRDefault="00DF5137" w:rsidP="00BE483E">
      <w:pPr>
        <w:pStyle w:val="a3"/>
        <w:numPr>
          <w:ilvl w:val="0"/>
          <w:numId w:val="6"/>
        </w:numPr>
        <w:spacing w:before="60" w:after="60" w:line="240" w:lineRule="auto"/>
        <w:ind w:left="794" w:hanging="397"/>
        <w:jc w:val="both"/>
        <w:rPr>
          <w:rFonts w:cstheme="minorHAnsi"/>
        </w:rPr>
      </w:pPr>
      <w:r w:rsidRPr="00BE483E">
        <w:rPr>
          <w:rFonts w:cstheme="minorHAnsi"/>
        </w:rPr>
        <w:t>Στοιχεία Ετήσιας Έκθεσης Παραγωγού Αποβλήτων που καταχωρίζονται στο Ηλεκτρονικό Μητρώο Αποβλήτων της ΚΥΑ αρ.οικ.43942/4026/2016 (ΦΕΚ Β’2992/2016) και συγκεκριμένα:</w:t>
      </w:r>
    </w:p>
    <w:p w:rsidR="00DF5137" w:rsidRPr="00BE483E" w:rsidRDefault="00DF5137" w:rsidP="00BE483E">
      <w:pPr>
        <w:pStyle w:val="a3"/>
        <w:numPr>
          <w:ilvl w:val="0"/>
          <w:numId w:val="9"/>
        </w:numPr>
        <w:spacing w:before="60" w:after="60" w:line="240" w:lineRule="auto"/>
        <w:ind w:left="1134" w:hanging="397"/>
        <w:jc w:val="both"/>
        <w:rPr>
          <w:rFonts w:cstheme="minorHAnsi"/>
        </w:rPr>
      </w:pPr>
      <w:r w:rsidRPr="00BE483E">
        <w:rPr>
          <w:rFonts w:cstheme="minorHAnsi"/>
        </w:rPr>
        <w:t>Τύπος και ποσότητα αποβλήτων που διαχειρίζεται η εγκατάσταση</w:t>
      </w:r>
    </w:p>
    <w:p w:rsidR="00DF5137" w:rsidRPr="00BE483E" w:rsidRDefault="00DF5137" w:rsidP="00BE483E">
      <w:pPr>
        <w:pStyle w:val="a3"/>
        <w:numPr>
          <w:ilvl w:val="0"/>
          <w:numId w:val="9"/>
        </w:numPr>
        <w:spacing w:before="60" w:after="60" w:line="240" w:lineRule="auto"/>
        <w:ind w:left="1134" w:hanging="397"/>
        <w:jc w:val="both"/>
        <w:rPr>
          <w:rFonts w:cstheme="minorHAnsi"/>
        </w:rPr>
      </w:pPr>
      <w:r w:rsidRPr="00BE483E">
        <w:rPr>
          <w:rFonts w:cstheme="minorHAnsi"/>
        </w:rPr>
        <w:t>Είδος και ποσότητες προϊόντων &amp; υπολειμμάτων</w:t>
      </w:r>
    </w:p>
    <w:p w:rsidR="00DF5137" w:rsidRPr="00DF5137" w:rsidRDefault="00DF5137" w:rsidP="00BE483E">
      <w:pPr>
        <w:pStyle w:val="a3"/>
        <w:numPr>
          <w:ilvl w:val="0"/>
          <w:numId w:val="6"/>
        </w:numPr>
        <w:spacing w:before="60" w:after="60" w:line="240" w:lineRule="auto"/>
        <w:ind w:left="794" w:hanging="397"/>
        <w:jc w:val="both"/>
        <w:rPr>
          <w:rFonts w:cstheme="minorHAnsi"/>
        </w:rPr>
      </w:pPr>
      <w:r w:rsidRPr="00DF5137">
        <w:rPr>
          <w:rFonts w:cstheme="minorHAnsi"/>
        </w:rPr>
        <w:t>Απόδοση μονάδας ανά τμήμα επεξεργασίας (</w:t>
      </w:r>
      <w:proofErr w:type="spellStart"/>
      <w:r w:rsidRPr="00DF5137">
        <w:rPr>
          <w:rFonts w:cstheme="minorHAnsi"/>
        </w:rPr>
        <w:t>in</w:t>
      </w:r>
      <w:proofErr w:type="spellEnd"/>
      <w:r w:rsidRPr="00DF5137">
        <w:rPr>
          <w:rFonts w:cstheme="minorHAnsi"/>
        </w:rPr>
        <w:t>/</w:t>
      </w:r>
      <w:proofErr w:type="spellStart"/>
      <w:r w:rsidRPr="00DF5137">
        <w:rPr>
          <w:rFonts w:cstheme="minorHAnsi"/>
        </w:rPr>
        <w:t>out</w:t>
      </w:r>
      <w:proofErr w:type="spellEnd"/>
      <w:r w:rsidRPr="00DF5137">
        <w:rPr>
          <w:rFonts w:cstheme="minorHAnsi"/>
        </w:rPr>
        <w:t>)</w:t>
      </w:r>
    </w:p>
    <w:p w:rsidR="00DF5137" w:rsidRPr="00BE483E" w:rsidRDefault="00DF5137" w:rsidP="00BE483E">
      <w:pPr>
        <w:pStyle w:val="a3"/>
        <w:numPr>
          <w:ilvl w:val="0"/>
          <w:numId w:val="9"/>
        </w:numPr>
        <w:spacing w:before="60" w:after="60" w:line="240" w:lineRule="auto"/>
        <w:ind w:left="1134" w:hanging="397"/>
        <w:jc w:val="both"/>
        <w:rPr>
          <w:rFonts w:cstheme="minorHAnsi"/>
        </w:rPr>
      </w:pPr>
      <w:r w:rsidRPr="00DF5137">
        <w:rPr>
          <w:rFonts w:cstheme="minorHAnsi"/>
        </w:rPr>
        <w:t xml:space="preserve">Εκπλήρωση ποιοτικών στόχων (π.χ. %εκτροπής ΒΑΑ, %υπολειμμάτων προς ταφή, %ανάκτησης </w:t>
      </w:r>
      <w:proofErr w:type="spellStart"/>
      <w:r w:rsidRPr="00DF5137">
        <w:rPr>
          <w:rFonts w:cstheme="minorHAnsi"/>
        </w:rPr>
        <w:t>ανακυκλωσίμων</w:t>
      </w:r>
      <w:proofErr w:type="spellEnd"/>
      <w:r w:rsidRPr="00DF5137">
        <w:rPr>
          <w:rFonts w:cstheme="minorHAnsi"/>
        </w:rPr>
        <w:t>, %</w:t>
      </w:r>
      <w:proofErr w:type="spellStart"/>
      <w:r w:rsidRPr="00DF5137">
        <w:rPr>
          <w:rFonts w:cstheme="minorHAnsi"/>
        </w:rPr>
        <w:t>βιοποβλήτων</w:t>
      </w:r>
      <w:proofErr w:type="spellEnd"/>
      <w:r w:rsidRPr="00DF5137">
        <w:rPr>
          <w:rFonts w:cstheme="minorHAnsi"/>
        </w:rPr>
        <w:t xml:space="preserve"> από χωριστή συλλογή)</w:t>
      </w:r>
    </w:p>
    <w:p w:rsidR="00DF5137" w:rsidRPr="00DF5137" w:rsidRDefault="00DF5137" w:rsidP="00BE483E">
      <w:pPr>
        <w:pStyle w:val="a3"/>
        <w:numPr>
          <w:ilvl w:val="0"/>
          <w:numId w:val="9"/>
        </w:numPr>
        <w:spacing w:before="60" w:after="60" w:line="240" w:lineRule="auto"/>
        <w:ind w:left="1134" w:hanging="397"/>
        <w:jc w:val="both"/>
        <w:rPr>
          <w:rFonts w:cstheme="minorHAnsi"/>
        </w:rPr>
      </w:pPr>
      <w:r w:rsidRPr="00DF5137">
        <w:rPr>
          <w:rFonts w:cstheme="minorHAnsi"/>
        </w:rPr>
        <w:t>Αναφορές προγραμματισμένων και έκτακτων διακοπών λειτουργίας</w:t>
      </w:r>
    </w:p>
    <w:p w:rsidR="00DF5137" w:rsidRPr="00DF5137" w:rsidRDefault="00DF5137" w:rsidP="00BE483E">
      <w:pPr>
        <w:pStyle w:val="a3"/>
        <w:numPr>
          <w:ilvl w:val="0"/>
          <w:numId w:val="9"/>
        </w:numPr>
        <w:spacing w:before="60" w:after="60" w:line="240" w:lineRule="auto"/>
        <w:ind w:left="1134" w:hanging="397"/>
        <w:jc w:val="both"/>
        <w:rPr>
          <w:rFonts w:cstheme="minorHAnsi"/>
        </w:rPr>
      </w:pPr>
      <w:r w:rsidRPr="00DF5137">
        <w:rPr>
          <w:rFonts w:cstheme="minorHAnsi"/>
        </w:rPr>
        <w:t xml:space="preserve">Χρεώσεις &amp; λοιπά έσοδα (σύμφωνα με τις κατηγορίες εξόδων των παραμέτρων υπολογισμού και ελέγχου αντιστάθμισης ανωτέρω) βάσει </w:t>
      </w:r>
      <w:proofErr w:type="spellStart"/>
      <w:r w:rsidRPr="00DF5137">
        <w:rPr>
          <w:rFonts w:cstheme="minorHAnsi"/>
        </w:rPr>
        <w:t>ζυγιστηρίου</w:t>
      </w:r>
      <w:proofErr w:type="spellEnd"/>
    </w:p>
    <w:p w:rsidR="00DF5137" w:rsidRPr="00DF5137" w:rsidRDefault="00DF5137" w:rsidP="00BE483E">
      <w:pPr>
        <w:pStyle w:val="a3"/>
        <w:numPr>
          <w:ilvl w:val="0"/>
          <w:numId w:val="9"/>
        </w:numPr>
        <w:spacing w:before="60" w:after="60" w:line="240" w:lineRule="auto"/>
        <w:ind w:left="1134" w:hanging="397"/>
        <w:jc w:val="both"/>
        <w:rPr>
          <w:rFonts w:cstheme="minorHAnsi"/>
        </w:rPr>
      </w:pPr>
      <w:r w:rsidRPr="00DF5137">
        <w:rPr>
          <w:rFonts w:cstheme="minorHAnsi"/>
        </w:rPr>
        <w:t>Τέλη εισόδου</w:t>
      </w:r>
    </w:p>
    <w:p w:rsidR="00DF5137" w:rsidRPr="00DF5137" w:rsidRDefault="00DF5137" w:rsidP="00BE483E">
      <w:pPr>
        <w:pStyle w:val="a3"/>
        <w:numPr>
          <w:ilvl w:val="0"/>
          <w:numId w:val="9"/>
        </w:numPr>
        <w:spacing w:before="60" w:after="60" w:line="240" w:lineRule="auto"/>
        <w:ind w:left="1134" w:hanging="397"/>
        <w:jc w:val="both"/>
        <w:rPr>
          <w:rFonts w:cstheme="minorHAnsi"/>
        </w:rPr>
      </w:pPr>
      <w:r w:rsidRPr="00DF5137">
        <w:rPr>
          <w:rFonts w:cstheme="minorHAnsi"/>
        </w:rPr>
        <w:t>Τιμές πώλησης προϊόντων</w:t>
      </w:r>
    </w:p>
    <w:p w:rsidR="00DF5137" w:rsidRPr="00DF5137" w:rsidRDefault="00DF5137" w:rsidP="00BE483E">
      <w:pPr>
        <w:pStyle w:val="a3"/>
        <w:numPr>
          <w:ilvl w:val="0"/>
          <w:numId w:val="9"/>
        </w:numPr>
        <w:spacing w:before="60" w:after="60" w:line="240" w:lineRule="auto"/>
        <w:ind w:left="1134" w:hanging="397"/>
        <w:jc w:val="both"/>
        <w:rPr>
          <w:rFonts w:cstheme="minorHAnsi"/>
        </w:rPr>
      </w:pPr>
      <w:r w:rsidRPr="00DF5137">
        <w:rPr>
          <w:rFonts w:cstheme="minorHAnsi"/>
        </w:rPr>
        <w:t>Συμβάσεις διάθεσης/πώλησης προϊόντων</w:t>
      </w:r>
    </w:p>
    <w:p w:rsidR="00DF5137" w:rsidRPr="00DF5137" w:rsidRDefault="00DF5137" w:rsidP="00BE483E">
      <w:pPr>
        <w:pStyle w:val="a3"/>
        <w:numPr>
          <w:ilvl w:val="0"/>
          <w:numId w:val="9"/>
        </w:numPr>
        <w:spacing w:before="60" w:after="60" w:line="240" w:lineRule="auto"/>
        <w:ind w:left="1134" w:hanging="397"/>
        <w:jc w:val="both"/>
        <w:rPr>
          <w:rFonts w:cstheme="minorHAnsi"/>
        </w:rPr>
      </w:pPr>
      <w:r w:rsidRPr="00DF5137">
        <w:rPr>
          <w:rFonts w:cstheme="minorHAnsi"/>
        </w:rPr>
        <w:t>Σύμβαση ηλεκτροπαραγωγής</w:t>
      </w:r>
    </w:p>
    <w:p w:rsidR="00DF5137" w:rsidRPr="00DF5137" w:rsidRDefault="00DF5137" w:rsidP="00BE483E">
      <w:pPr>
        <w:pStyle w:val="a3"/>
        <w:numPr>
          <w:ilvl w:val="0"/>
          <w:numId w:val="6"/>
        </w:numPr>
        <w:spacing w:before="60" w:after="60" w:line="240" w:lineRule="auto"/>
        <w:ind w:left="794" w:hanging="397"/>
        <w:jc w:val="both"/>
        <w:rPr>
          <w:rFonts w:cstheme="minorHAnsi"/>
        </w:rPr>
      </w:pPr>
      <w:r w:rsidRPr="00DF5137">
        <w:rPr>
          <w:rFonts w:cstheme="minorHAnsi"/>
        </w:rPr>
        <w:t>Ετήσιες δαπάνες ανά κατηγορία (σύμφωνα με τις κατηγορίες εξόδων των παραμέτρων υπολογισμού και ελέγχου αντιστάθμισης ανωτέρω)</w:t>
      </w:r>
    </w:p>
    <w:p w:rsidR="00DF5137" w:rsidRPr="00DF5137" w:rsidRDefault="00DF5137" w:rsidP="00BE483E">
      <w:pPr>
        <w:pStyle w:val="a3"/>
        <w:numPr>
          <w:ilvl w:val="0"/>
          <w:numId w:val="6"/>
        </w:numPr>
        <w:spacing w:before="60" w:after="60" w:line="240" w:lineRule="auto"/>
        <w:ind w:left="794" w:hanging="397"/>
        <w:jc w:val="both"/>
        <w:rPr>
          <w:rFonts w:cstheme="minorHAnsi"/>
        </w:rPr>
      </w:pPr>
      <w:r w:rsidRPr="00DF5137">
        <w:rPr>
          <w:rFonts w:cstheme="minorHAnsi"/>
        </w:rPr>
        <w:t>Δραστηριότητες εκτός εγκεκριμένης ΥΓΟΣ</w:t>
      </w:r>
    </w:p>
    <w:p w:rsidR="00DF5137" w:rsidRPr="00DF5137" w:rsidRDefault="00DF5137" w:rsidP="00BE483E">
      <w:pPr>
        <w:spacing w:before="60" w:after="60" w:line="240" w:lineRule="auto"/>
        <w:ind w:left="397"/>
        <w:jc w:val="both"/>
        <w:rPr>
          <w:rFonts w:cstheme="minorHAnsi"/>
        </w:rPr>
      </w:pPr>
      <w:r w:rsidRPr="00DF5137">
        <w:rPr>
          <w:rFonts w:cstheme="minorHAnsi"/>
        </w:rPr>
        <w:t xml:space="preserve">Το αρμόδιο όργανο επαλήθευσης διενεργεί έλεγχο των ανωτέρω στοιχείων, ανά τριετία κατά την περίοδο ανάθεσης, καθώς και στο τέλος της περιόδου ανάθεσης, και συντάσσει απολογιστικές αναφορές (βάσει απόφασης 2012/21/ΕΕ) που περιλαμβάνουν </w:t>
      </w:r>
      <w:proofErr w:type="spellStart"/>
      <w:r w:rsidRPr="00DF5137">
        <w:rPr>
          <w:rFonts w:cstheme="minorHAnsi"/>
        </w:rPr>
        <w:t>κατ΄</w:t>
      </w:r>
      <w:proofErr w:type="spellEnd"/>
      <w:r w:rsidRPr="00DF5137">
        <w:rPr>
          <w:rFonts w:cstheme="minorHAnsi"/>
        </w:rPr>
        <w:t xml:space="preserve"> ελάχιστον τα ακόλουθα στοιχεία :</w:t>
      </w:r>
    </w:p>
    <w:p w:rsidR="00DF5137" w:rsidRPr="00DF5137" w:rsidRDefault="00DF5137" w:rsidP="00BE483E">
      <w:pPr>
        <w:pStyle w:val="a3"/>
        <w:numPr>
          <w:ilvl w:val="0"/>
          <w:numId w:val="3"/>
        </w:numPr>
        <w:spacing w:before="60" w:after="60" w:line="240" w:lineRule="auto"/>
        <w:ind w:left="794" w:hanging="397"/>
        <w:jc w:val="both"/>
        <w:rPr>
          <w:rFonts w:cstheme="minorHAnsi"/>
        </w:rPr>
      </w:pPr>
      <w:r w:rsidRPr="00DF5137">
        <w:rPr>
          <w:rFonts w:cstheme="minorHAnsi"/>
        </w:rPr>
        <w:t xml:space="preserve">Στοιχεία </w:t>
      </w:r>
      <w:proofErr w:type="spellStart"/>
      <w:r w:rsidRPr="00DF5137">
        <w:rPr>
          <w:rFonts w:cstheme="minorHAnsi"/>
        </w:rPr>
        <w:t>παρόχου</w:t>
      </w:r>
      <w:proofErr w:type="spellEnd"/>
      <w:r w:rsidRPr="00DF5137">
        <w:rPr>
          <w:rFonts w:cstheme="minorHAnsi"/>
        </w:rPr>
        <w:t xml:space="preserve"> ΥΓΟΣ &amp; πλαίσιο αρμοδιοτήτων</w:t>
      </w:r>
    </w:p>
    <w:p w:rsidR="00DF5137" w:rsidRPr="00DF5137" w:rsidRDefault="00DF5137" w:rsidP="00BE483E">
      <w:pPr>
        <w:pStyle w:val="a3"/>
        <w:numPr>
          <w:ilvl w:val="0"/>
          <w:numId w:val="3"/>
        </w:numPr>
        <w:spacing w:before="60" w:after="60" w:line="240" w:lineRule="auto"/>
        <w:ind w:left="794" w:hanging="397"/>
        <w:jc w:val="both"/>
        <w:rPr>
          <w:rFonts w:cstheme="minorHAnsi"/>
        </w:rPr>
      </w:pPr>
      <w:r w:rsidRPr="00DF5137">
        <w:rPr>
          <w:rFonts w:cstheme="minorHAnsi"/>
        </w:rPr>
        <w:t>Εξυπηρετούμενοι χρήστες / γεωγραφική περιοχή</w:t>
      </w:r>
    </w:p>
    <w:p w:rsidR="00DF5137" w:rsidRPr="00DF5137" w:rsidRDefault="00DF5137" w:rsidP="00BE483E">
      <w:pPr>
        <w:pStyle w:val="a3"/>
        <w:numPr>
          <w:ilvl w:val="0"/>
          <w:numId w:val="3"/>
        </w:numPr>
        <w:spacing w:before="60" w:after="60" w:line="240" w:lineRule="auto"/>
        <w:ind w:left="794" w:hanging="397"/>
        <w:jc w:val="both"/>
        <w:rPr>
          <w:rFonts w:cstheme="minorHAnsi"/>
        </w:rPr>
      </w:pPr>
      <w:r w:rsidRPr="00DF5137">
        <w:rPr>
          <w:rFonts w:cstheme="minorHAnsi"/>
        </w:rPr>
        <w:t>Έκθεση περιγραφής ΥΓΟΣ, λειτουργίας υποδομής, με αναφορές περιόδου αποδοτικής λειτουργίας, τυχόν διακοπές, συντήρηση κλπ</w:t>
      </w:r>
    </w:p>
    <w:p w:rsidR="00DF5137" w:rsidRPr="00DF5137" w:rsidRDefault="00DF5137" w:rsidP="00BE483E">
      <w:pPr>
        <w:pStyle w:val="a3"/>
        <w:numPr>
          <w:ilvl w:val="0"/>
          <w:numId w:val="3"/>
        </w:numPr>
        <w:spacing w:before="60" w:after="60" w:line="240" w:lineRule="auto"/>
        <w:ind w:left="794" w:hanging="397"/>
        <w:jc w:val="both"/>
        <w:rPr>
          <w:rFonts w:cstheme="minorHAnsi"/>
        </w:rPr>
      </w:pPr>
      <w:r w:rsidRPr="00DF5137">
        <w:rPr>
          <w:rFonts w:cstheme="minorHAnsi"/>
        </w:rPr>
        <w:t>Τύπος και ποσότητα αποβλήτων προς επεξεργασία ή/και διάθεση</w:t>
      </w:r>
    </w:p>
    <w:p w:rsidR="00DF5137" w:rsidRPr="00DF5137" w:rsidRDefault="00DF5137" w:rsidP="00BE483E">
      <w:pPr>
        <w:pStyle w:val="a3"/>
        <w:numPr>
          <w:ilvl w:val="0"/>
          <w:numId w:val="3"/>
        </w:numPr>
        <w:spacing w:before="60" w:after="60" w:line="240" w:lineRule="auto"/>
        <w:ind w:left="794" w:hanging="397"/>
        <w:jc w:val="both"/>
        <w:rPr>
          <w:rFonts w:cstheme="minorHAnsi"/>
        </w:rPr>
      </w:pPr>
      <w:r w:rsidRPr="00DF5137">
        <w:rPr>
          <w:rFonts w:cstheme="minorHAnsi"/>
        </w:rPr>
        <w:t>Είδος και ποσότητες προϊόντων &amp; υπολειμμάτων</w:t>
      </w:r>
    </w:p>
    <w:p w:rsidR="00DF5137" w:rsidRPr="00DF5137" w:rsidRDefault="00DF5137" w:rsidP="00BE483E">
      <w:pPr>
        <w:pStyle w:val="a3"/>
        <w:numPr>
          <w:ilvl w:val="0"/>
          <w:numId w:val="3"/>
        </w:numPr>
        <w:spacing w:before="60" w:after="60" w:line="240" w:lineRule="auto"/>
        <w:ind w:left="794" w:hanging="397"/>
        <w:jc w:val="both"/>
        <w:rPr>
          <w:rFonts w:cstheme="minorHAnsi"/>
        </w:rPr>
      </w:pPr>
      <w:r w:rsidRPr="00DF5137">
        <w:rPr>
          <w:rFonts w:cstheme="minorHAnsi"/>
        </w:rPr>
        <w:t xml:space="preserve">Χρεώσεις &amp; λοιπά έσοδα (σύμφωνα με τις κατηγορίες εξόδων των παραμέτρων υπολογισμού και ελέγχου αντιστάθμισης ανωτέρω) βάσει </w:t>
      </w:r>
      <w:proofErr w:type="spellStart"/>
      <w:r w:rsidRPr="00DF5137">
        <w:rPr>
          <w:rFonts w:cstheme="minorHAnsi"/>
        </w:rPr>
        <w:t>ζυγιστηρίου</w:t>
      </w:r>
      <w:proofErr w:type="spellEnd"/>
      <w:r w:rsidRPr="00DF5137">
        <w:rPr>
          <w:rFonts w:cstheme="minorHAnsi"/>
        </w:rPr>
        <w:t xml:space="preserve"> (τέλη εισόδου &amp; τιμές πώλησης προϊόντων)</w:t>
      </w:r>
    </w:p>
    <w:p w:rsidR="00DF5137" w:rsidRPr="00DF5137" w:rsidRDefault="00DF5137" w:rsidP="00BE483E">
      <w:pPr>
        <w:pStyle w:val="a3"/>
        <w:numPr>
          <w:ilvl w:val="0"/>
          <w:numId w:val="3"/>
        </w:numPr>
        <w:spacing w:before="60" w:after="60" w:line="240" w:lineRule="auto"/>
        <w:ind w:left="794" w:hanging="397"/>
        <w:jc w:val="both"/>
        <w:rPr>
          <w:rFonts w:cstheme="minorHAnsi"/>
        </w:rPr>
      </w:pPr>
      <w:r w:rsidRPr="00DF5137">
        <w:rPr>
          <w:rFonts w:cstheme="minorHAnsi"/>
        </w:rPr>
        <w:t>Ετήσιες δαπάνες ανά κατηγορία (σύμφωνα με τις κατηγορίες εξόδων των παραμέτρων υπολογισμού και ελέγχου αντιστάθμισης ανωτέρω)</w:t>
      </w:r>
    </w:p>
    <w:p w:rsidR="00DF5137" w:rsidRPr="00DF5137" w:rsidRDefault="00DF5137" w:rsidP="00BE483E">
      <w:pPr>
        <w:pStyle w:val="a3"/>
        <w:numPr>
          <w:ilvl w:val="0"/>
          <w:numId w:val="3"/>
        </w:numPr>
        <w:spacing w:before="60" w:after="60" w:line="240" w:lineRule="auto"/>
        <w:ind w:left="794" w:hanging="397"/>
        <w:jc w:val="both"/>
        <w:rPr>
          <w:rFonts w:cstheme="minorHAnsi"/>
        </w:rPr>
      </w:pPr>
      <w:r w:rsidRPr="00DF5137">
        <w:rPr>
          <w:rFonts w:cstheme="minorHAnsi"/>
        </w:rPr>
        <w:t>Επαλήθευση στοιχείων υπολογισμού αντιστάθμισης &amp; σύγκριση με απόφαση ανάθεσης ΥΓΟΣ</w:t>
      </w:r>
    </w:p>
    <w:p w:rsidR="00DF5137" w:rsidRPr="00DF5137" w:rsidRDefault="00DF5137" w:rsidP="00BE483E">
      <w:pPr>
        <w:pStyle w:val="a3"/>
        <w:numPr>
          <w:ilvl w:val="0"/>
          <w:numId w:val="3"/>
        </w:numPr>
        <w:spacing w:before="60" w:after="60" w:line="240" w:lineRule="auto"/>
        <w:ind w:left="794" w:hanging="397"/>
        <w:jc w:val="both"/>
        <w:rPr>
          <w:rFonts w:cstheme="minorHAnsi"/>
        </w:rPr>
      </w:pPr>
      <w:r w:rsidRPr="00DF5137">
        <w:rPr>
          <w:rFonts w:cstheme="minorHAnsi"/>
        </w:rPr>
        <w:t>Επιβεβαίωση τήρησης διακριτής λογιστικής μερίδας για την παροχή της ανατεθείσας ΥΓΟΣ</w:t>
      </w:r>
    </w:p>
    <w:p w:rsidR="00DF5137" w:rsidRPr="00DF5137" w:rsidRDefault="00DF5137" w:rsidP="00BE483E">
      <w:pPr>
        <w:pStyle w:val="a3"/>
        <w:numPr>
          <w:ilvl w:val="0"/>
          <w:numId w:val="3"/>
        </w:numPr>
        <w:spacing w:before="60" w:after="60" w:line="240" w:lineRule="auto"/>
        <w:ind w:left="794" w:hanging="397"/>
        <w:jc w:val="both"/>
        <w:rPr>
          <w:rFonts w:cstheme="minorHAnsi"/>
        </w:rPr>
      </w:pPr>
      <w:r w:rsidRPr="00DF5137">
        <w:rPr>
          <w:rFonts w:cstheme="minorHAnsi"/>
        </w:rPr>
        <w:t>Τυχόν παρατάσεις παροχής ΥΓΟΣ</w:t>
      </w:r>
    </w:p>
    <w:p w:rsidR="00DF5137" w:rsidRPr="00DF5137" w:rsidRDefault="00DF5137" w:rsidP="00BE483E">
      <w:pPr>
        <w:pStyle w:val="a3"/>
        <w:numPr>
          <w:ilvl w:val="0"/>
          <w:numId w:val="3"/>
        </w:numPr>
        <w:spacing w:before="60" w:after="60" w:line="240" w:lineRule="auto"/>
        <w:ind w:left="794" w:hanging="397"/>
        <w:jc w:val="both"/>
        <w:rPr>
          <w:rFonts w:cstheme="minorHAnsi"/>
        </w:rPr>
      </w:pPr>
      <w:r w:rsidRPr="00DF5137">
        <w:rPr>
          <w:rFonts w:cstheme="minorHAnsi"/>
        </w:rPr>
        <w:t>Τυχόν δραστηριότητες εκτός εγκεκριμένης ΥΓΟΣ</w:t>
      </w:r>
    </w:p>
    <w:p w:rsidR="00DF5137" w:rsidRPr="00DF5137" w:rsidRDefault="00DF5137" w:rsidP="00BE483E">
      <w:pPr>
        <w:pStyle w:val="a3"/>
        <w:numPr>
          <w:ilvl w:val="0"/>
          <w:numId w:val="3"/>
        </w:numPr>
        <w:spacing w:before="60" w:after="60" w:line="240" w:lineRule="auto"/>
        <w:ind w:left="794" w:hanging="397"/>
        <w:jc w:val="both"/>
        <w:rPr>
          <w:rFonts w:cstheme="minorHAnsi"/>
        </w:rPr>
      </w:pPr>
      <w:r w:rsidRPr="00DF5137">
        <w:rPr>
          <w:rFonts w:cstheme="minorHAnsi"/>
        </w:rPr>
        <w:t xml:space="preserve">Την εφαρμοστέα κατά περίπτωση διαδικασία επιστροφής τυχόν εισπραχθείσας </w:t>
      </w:r>
      <w:proofErr w:type="spellStart"/>
      <w:r w:rsidRPr="00DF5137">
        <w:rPr>
          <w:rFonts w:cstheme="minorHAnsi"/>
        </w:rPr>
        <w:t>υπεραντιστάθμισης</w:t>
      </w:r>
      <w:proofErr w:type="spellEnd"/>
      <w:r w:rsidRPr="00DF5137">
        <w:rPr>
          <w:rFonts w:cstheme="minorHAnsi"/>
        </w:rPr>
        <w:t>.</w:t>
      </w:r>
    </w:p>
    <w:p w:rsidR="00BE483E" w:rsidRDefault="00BE483E" w:rsidP="00BE483E">
      <w:pPr>
        <w:spacing w:before="60" w:after="60" w:line="240" w:lineRule="auto"/>
        <w:ind w:left="397"/>
        <w:jc w:val="both"/>
        <w:rPr>
          <w:rFonts w:cstheme="minorHAnsi"/>
          <w:lang w:val="en-US"/>
        </w:rPr>
      </w:pPr>
    </w:p>
    <w:p w:rsidR="00BE483E" w:rsidRPr="00BE483E" w:rsidRDefault="00DF5137" w:rsidP="00BE483E">
      <w:pPr>
        <w:spacing w:before="60" w:after="60" w:line="240" w:lineRule="auto"/>
        <w:ind w:left="397"/>
        <w:jc w:val="both"/>
        <w:rPr>
          <w:rFonts w:cstheme="minorHAnsi"/>
          <w:u w:val="single"/>
        </w:rPr>
      </w:pPr>
      <w:r w:rsidRPr="00BE483E">
        <w:rPr>
          <w:rFonts w:cstheme="minorHAnsi"/>
          <w:u w:val="single"/>
        </w:rPr>
        <w:t>Αρμόδιο Όργανο Επαλήθευσης</w:t>
      </w:r>
    </w:p>
    <w:p w:rsidR="00DF5137" w:rsidRPr="00BE483E" w:rsidRDefault="00DF5137" w:rsidP="00BE483E">
      <w:pPr>
        <w:spacing w:before="60" w:after="60" w:line="240" w:lineRule="auto"/>
        <w:ind w:left="397"/>
        <w:jc w:val="both"/>
        <w:rPr>
          <w:rFonts w:cstheme="minorHAnsi"/>
        </w:rPr>
      </w:pPr>
      <w:r w:rsidRPr="00DF5137">
        <w:rPr>
          <w:rFonts w:cstheme="minorHAnsi"/>
        </w:rPr>
        <w:t>Με τη σύσταση του αρμοδίου οργάνου επαλήθευσης τροποποιείται και συμπ</w:t>
      </w:r>
      <w:r w:rsidRPr="00DF5137">
        <w:rPr>
          <w:rFonts w:cstheme="minorHAnsi"/>
        </w:rPr>
        <w:t xml:space="preserve">ληρώνεται αναλόγως το παράρτημα </w:t>
      </w:r>
      <w:r w:rsidRPr="00DF5137">
        <w:rPr>
          <w:rFonts w:cstheme="minorHAnsi"/>
        </w:rPr>
        <w:t>της απόφασης ένταξης που αφορά στην έκθεση τεκμηρίωσης ΥΓΟΣ</w:t>
      </w:r>
      <w:r w:rsidR="00BE483E" w:rsidRPr="00BE483E">
        <w:rPr>
          <w:rFonts w:cstheme="minorHAnsi"/>
        </w:rPr>
        <w:t>.</w:t>
      </w:r>
    </w:p>
    <w:p w:rsidR="00DF5137" w:rsidRPr="00DF5137" w:rsidRDefault="00DF5137" w:rsidP="00DF5137">
      <w:pPr>
        <w:spacing w:before="60" w:after="60" w:line="240" w:lineRule="auto"/>
        <w:jc w:val="both"/>
        <w:rPr>
          <w:rFonts w:cstheme="minorHAnsi"/>
        </w:rPr>
      </w:pPr>
      <w:r w:rsidRPr="00DF5137">
        <w:rPr>
          <w:rFonts w:cstheme="minorHAnsi"/>
        </w:rPr>
        <w:t xml:space="preserve"> </w:t>
      </w:r>
    </w:p>
    <w:p w:rsidR="00DF5137" w:rsidRPr="00DF5137" w:rsidRDefault="00DF5137" w:rsidP="00DF5137">
      <w:pPr>
        <w:spacing w:before="60" w:after="60" w:line="240" w:lineRule="auto"/>
        <w:jc w:val="both"/>
        <w:rPr>
          <w:rFonts w:cstheme="minorHAnsi"/>
        </w:rPr>
      </w:pPr>
    </w:p>
    <w:p w:rsidR="007B7088" w:rsidRDefault="007B7088">
      <w:pPr>
        <w:rPr>
          <w:rFonts w:cstheme="minorHAnsi"/>
        </w:rPr>
      </w:pPr>
      <w:r>
        <w:rPr>
          <w:rFonts w:cstheme="minorHAnsi"/>
        </w:rPr>
        <w:br w:type="page"/>
      </w:r>
    </w:p>
    <w:p w:rsidR="00DF5137" w:rsidRPr="007B7088" w:rsidRDefault="007B7088" w:rsidP="00DF5137">
      <w:pPr>
        <w:spacing w:before="60" w:after="60" w:line="240" w:lineRule="auto"/>
        <w:jc w:val="both"/>
        <w:rPr>
          <w:rFonts w:cstheme="minorHAnsi"/>
          <w:b/>
          <w:sz w:val="24"/>
          <w:szCs w:val="24"/>
        </w:rPr>
      </w:pPr>
      <w:r w:rsidRPr="007B7088">
        <w:rPr>
          <w:rFonts w:cstheme="minorHAnsi"/>
          <w:b/>
          <w:sz w:val="24"/>
          <w:szCs w:val="24"/>
        </w:rPr>
        <w:t>Οδηγίες</w:t>
      </w:r>
    </w:p>
    <w:p w:rsidR="00DF5137" w:rsidRPr="00DF5137" w:rsidRDefault="00DF5137" w:rsidP="00DF5137">
      <w:pPr>
        <w:spacing w:before="60" w:after="60" w:line="240" w:lineRule="auto"/>
        <w:jc w:val="both"/>
        <w:rPr>
          <w:rFonts w:cstheme="minorHAnsi"/>
        </w:rPr>
      </w:pPr>
      <w:r w:rsidRPr="00DF5137">
        <w:rPr>
          <w:rFonts w:cstheme="minorHAnsi"/>
        </w:rPr>
        <w:t>Στο πλαίσιο της ένταξης έργων στα Επιχειρησιακά Προγράμματα του ΕΣΠΑ 2014-2020, η έκθεση τεκμηρίωσης ΥΓΟΣ υποβάλλεται με στόχο να καλυφθούν οι απαιτήσεις που καθορίζει το νομικό πλαίσιο της Ευρωπαϊκής Ένωσης περί Υπηρεσιών Γενικού Οικονομικού Συμφέροντος (ΥΓΟΣ). Το παρόν έγγραφο αποτελεί συνοπτικό οδηγό σύνταξης της έκθεσης που πρέπει να υποβληθεί προκειμένου να πληρούνται οι διατάξεις της Απόφασης της 20ης Δεκεμβρίου 2011 για την εφαρμογή του άρθρου 106 παράγραφος 2 τη Συνθήκης για τη λειτουργία της Ευρωπαϊκής Ένωσης στις κρατικές ενισχύσεις υπό μορφή αντιστάθμισης για την παροχή δημόσιας υπηρεσίας που χορηγούνται σε ορισμένες επιχειρήσεις επιφορτισμένες με τη διαχείριση υπηρεσιών γενικού οικονομικού συμφέροντος (2012/21/ΕΕ).</w:t>
      </w:r>
    </w:p>
    <w:p w:rsidR="00DF5137" w:rsidRPr="00DF5137" w:rsidRDefault="00DF5137" w:rsidP="00DF5137">
      <w:pPr>
        <w:spacing w:before="60" w:after="60" w:line="240" w:lineRule="auto"/>
        <w:jc w:val="both"/>
        <w:rPr>
          <w:rFonts w:cstheme="minorHAnsi"/>
        </w:rPr>
      </w:pPr>
      <w:r w:rsidRPr="00DF5137">
        <w:rPr>
          <w:rFonts w:cstheme="minorHAnsi"/>
        </w:rPr>
        <w:t xml:space="preserve">Για να καλυφθούν οι προϋποθέσεις που καθορίζει η ανωτέρω αναφερόμενη απόφαση, προκειμένου η κρατική ενίσχυση που χορηγείται υπό μορφή αντιστάθμισης για παροχή δημόσιας υπηρεσίας να συμβιβάζεται με την εσωτερική αγορά και να απαλλάσσεται από </w:t>
      </w:r>
      <w:r w:rsidRPr="00DF5137">
        <w:rPr>
          <w:rFonts w:cstheme="minorHAnsi"/>
        </w:rPr>
        <w:lastRenderedPageBreak/>
        <w:t>την υποχρέωση προηγούμενης κοινοποίησης, κατά την ανάθεση της υπηρεσίας το Κράτος Μέλος οφείλει να καθορίσει κατ’ ελάχιστον και με σαφήνεια τα εξής:</w:t>
      </w:r>
    </w:p>
    <w:p w:rsidR="00DF5137" w:rsidRPr="007B7088" w:rsidRDefault="00DF5137" w:rsidP="007B7088">
      <w:pPr>
        <w:pStyle w:val="a3"/>
        <w:numPr>
          <w:ilvl w:val="0"/>
          <w:numId w:val="11"/>
        </w:numPr>
        <w:spacing w:before="60" w:after="60" w:line="240" w:lineRule="auto"/>
        <w:ind w:left="397" w:hanging="397"/>
        <w:jc w:val="both"/>
        <w:rPr>
          <w:rFonts w:cstheme="minorHAnsi"/>
        </w:rPr>
      </w:pPr>
      <w:r w:rsidRPr="007B7088">
        <w:rPr>
          <w:rFonts w:cstheme="minorHAnsi"/>
        </w:rPr>
        <w:t xml:space="preserve">Τον χαρακτηρισμό της παρεχόμενης υπηρεσίας ως ΥΓΟΣ. Ο ορισμός της παρεχόμενης δημόσιας υπηρεσίας ελέγχεται από την Επιτροπή και το ΔΕΚ για «πρόδηλο σφάλμα». Το κράτος μέλος υποχρεούται να παραθέτει τους λόγους για τους οποίους θεωρεί ότι η συγκεκριμένη υπηρεσία μπορεί, λόγω των ιδιαίτερων χαρακτηριστικών της, να συνιστά ΥΓΟΣ, καθώς, χωρίς τέτοια αιτιολόγηση, θα ήταν αδύνατο να ελέγξουν τα </w:t>
      </w:r>
      <w:proofErr w:type="spellStart"/>
      <w:r w:rsidRPr="007B7088">
        <w:rPr>
          <w:rFonts w:cstheme="minorHAnsi"/>
        </w:rPr>
        <w:t>ενωσιακά</w:t>
      </w:r>
      <w:proofErr w:type="spellEnd"/>
      <w:r w:rsidRPr="007B7088">
        <w:rPr>
          <w:rFonts w:cstheme="minorHAnsi"/>
        </w:rPr>
        <w:t xml:space="preserve"> όργανα αν το κράτος μέλος έχει υποπέσει σε πρόδηλο σφάλμα κατά την άσκηση της εξουσίας εκτιμήσεως.</w:t>
      </w:r>
    </w:p>
    <w:p w:rsidR="00DF5137" w:rsidRPr="007B7088" w:rsidRDefault="00DF5137" w:rsidP="007B7088">
      <w:pPr>
        <w:pStyle w:val="a3"/>
        <w:numPr>
          <w:ilvl w:val="0"/>
          <w:numId w:val="11"/>
        </w:numPr>
        <w:spacing w:before="60" w:after="60" w:line="240" w:lineRule="auto"/>
        <w:ind w:left="397" w:hanging="397"/>
        <w:jc w:val="both"/>
        <w:rPr>
          <w:rFonts w:cstheme="minorHAnsi"/>
        </w:rPr>
      </w:pPr>
      <w:r w:rsidRPr="007B7088">
        <w:rPr>
          <w:rFonts w:cstheme="minorHAnsi"/>
        </w:rPr>
        <w:t>Την πράξη ή τις πράξεις ανάθεσης (</w:t>
      </w:r>
      <w:proofErr w:type="spellStart"/>
      <w:r w:rsidRPr="007B7088">
        <w:rPr>
          <w:rFonts w:cstheme="minorHAnsi"/>
        </w:rPr>
        <w:t>Act</w:t>
      </w:r>
      <w:proofErr w:type="spellEnd"/>
      <w:r w:rsidRPr="007B7088">
        <w:rPr>
          <w:rFonts w:cstheme="minorHAnsi"/>
        </w:rPr>
        <w:t xml:space="preserve"> </w:t>
      </w:r>
      <w:proofErr w:type="spellStart"/>
      <w:r w:rsidRPr="007B7088">
        <w:rPr>
          <w:rFonts w:cstheme="minorHAnsi"/>
        </w:rPr>
        <w:t>of</w:t>
      </w:r>
      <w:proofErr w:type="spellEnd"/>
      <w:r w:rsidRPr="007B7088">
        <w:rPr>
          <w:rFonts w:cstheme="minorHAnsi"/>
        </w:rPr>
        <w:t xml:space="preserve"> </w:t>
      </w:r>
      <w:proofErr w:type="spellStart"/>
      <w:r w:rsidRPr="007B7088">
        <w:rPr>
          <w:rFonts w:cstheme="minorHAnsi"/>
        </w:rPr>
        <w:t>Entrustment</w:t>
      </w:r>
      <w:proofErr w:type="spellEnd"/>
      <w:r w:rsidRPr="007B7088">
        <w:rPr>
          <w:rFonts w:cstheme="minorHAnsi"/>
        </w:rPr>
        <w:t>) δια των οποίων να προσδιορίζονται τουλάχιστον τα ακόλουθα:</w:t>
      </w:r>
    </w:p>
    <w:p w:rsidR="00DF5137" w:rsidRPr="007B7088" w:rsidRDefault="00DF5137" w:rsidP="007B7088">
      <w:pPr>
        <w:pStyle w:val="a3"/>
        <w:numPr>
          <w:ilvl w:val="0"/>
          <w:numId w:val="3"/>
        </w:numPr>
        <w:spacing w:before="60" w:after="60" w:line="240" w:lineRule="auto"/>
        <w:ind w:left="794" w:hanging="397"/>
        <w:jc w:val="both"/>
        <w:rPr>
          <w:rFonts w:cstheme="minorHAnsi"/>
        </w:rPr>
      </w:pPr>
      <w:r w:rsidRPr="007B7088">
        <w:rPr>
          <w:rFonts w:cstheme="minorHAnsi"/>
        </w:rPr>
        <w:t>το περιεχόμενο (με αναλυτική περιγραφή της παρεχόμενης δημόσιας υπηρεσίας) και η διάρκεια των υποχρεώσεων παροχής δημόσιας υπηρεσίας</w:t>
      </w:r>
    </w:p>
    <w:p w:rsidR="00DF5137" w:rsidRPr="007B7088" w:rsidRDefault="00DF5137" w:rsidP="007B7088">
      <w:pPr>
        <w:pStyle w:val="a3"/>
        <w:numPr>
          <w:ilvl w:val="0"/>
          <w:numId w:val="3"/>
        </w:numPr>
        <w:spacing w:before="60" w:after="60" w:line="240" w:lineRule="auto"/>
        <w:ind w:left="794" w:hanging="397"/>
        <w:jc w:val="both"/>
        <w:rPr>
          <w:rFonts w:cstheme="minorHAnsi"/>
        </w:rPr>
      </w:pPr>
      <w:r w:rsidRPr="007B7088">
        <w:rPr>
          <w:rFonts w:cstheme="minorHAnsi"/>
        </w:rPr>
        <w:t>η επιχείρηση που επιφορτίζεται με την παροχή ΥΓΟΣ και, κατά περίπτωση, η σχετική περιοχή κάλυψης των υπηρεσιών ΥΓΟΣ</w:t>
      </w:r>
    </w:p>
    <w:p w:rsidR="00DF5137" w:rsidRPr="007B7088" w:rsidRDefault="00DF5137" w:rsidP="007B7088">
      <w:pPr>
        <w:pStyle w:val="a3"/>
        <w:numPr>
          <w:ilvl w:val="0"/>
          <w:numId w:val="3"/>
        </w:numPr>
        <w:spacing w:before="60" w:after="60" w:line="240" w:lineRule="auto"/>
        <w:ind w:left="794" w:hanging="397"/>
        <w:jc w:val="both"/>
        <w:rPr>
          <w:rFonts w:cstheme="minorHAnsi"/>
        </w:rPr>
      </w:pPr>
      <w:r w:rsidRPr="007B7088">
        <w:rPr>
          <w:rFonts w:cstheme="minorHAnsi"/>
        </w:rPr>
        <w:t>η φύση ενδεχόμενων αποκλειστικών ή ειδικών δικαιωμάτων που παραχωρούνται στην επιχείρηση ανάληψης της ΥΓΟΣ</w:t>
      </w:r>
    </w:p>
    <w:p w:rsidR="00DF5137" w:rsidRPr="007B7088" w:rsidRDefault="00DF5137" w:rsidP="007B7088">
      <w:pPr>
        <w:pStyle w:val="a3"/>
        <w:numPr>
          <w:ilvl w:val="0"/>
          <w:numId w:val="3"/>
        </w:numPr>
        <w:spacing w:before="60" w:after="60" w:line="240" w:lineRule="auto"/>
        <w:ind w:left="794" w:hanging="397"/>
        <w:jc w:val="both"/>
        <w:rPr>
          <w:rFonts w:cstheme="minorHAnsi"/>
        </w:rPr>
      </w:pPr>
      <w:r w:rsidRPr="007B7088">
        <w:rPr>
          <w:rFonts w:cstheme="minorHAnsi"/>
        </w:rPr>
        <w:t>οι παράμετροι για τον υπολογισμό, τον έλεγχο και την αναθεώρηση της αντιστάθμισης</w:t>
      </w:r>
    </w:p>
    <w:p w:rsidR="00DF5137" w:rsidRPr="007B7088" w:rsidRDefault="00DF5137" w:rsidP="007B7088">
      <w:pPr>
        <w:pStyle w:val="a3"/>
        <w:numPr>
          <w:ilvl w:val="0"/>
          <w:numId w:val="3"/>
        </w:numPr>
        <w:spacing w:before="60" w:after="60" w:line="240" w:lineRule="auto"/>
        <w:ind w:left="794" w:hanging="397"/>
        <w:jc w:val="both"/>
        <w:rPr>
          <w:rFonts w:cstheme="minorHAnsi"/>
        </w:rPr>
      </w:pPr>
      <w:r w:rsidRPr="007B7088">
        <w:rPr>
          <w:rFonts w:cstheme="minorHAnsi"/>
        </w:rPr>
        <w:t xml:space="preserve">οι ρυθμίσεις για την αποφυγή και την ανάκτηση ενδεχόμενης </w:t>
      </w:r>
      <w:proofErr w:type="spellStart"/>
      <w:r w:rsidRPr="007B7088">
        <w:rPr>
          <w:rFonts w:cstheme="minorHAnsi"/>
        </w:rPr>
        <w:t>υπεραντιστάθμισης</w:t>
      </w:r>
      <w:proofErr w:type="spellEnd"/>
      <w:r w:rsidRPr="007B7088">
        <w:rPr>
          <w:rFonts w:cstheme="minorHAnsi"/>
        </w:rPr>
        <w:t>.</w:t>
      </w:r>
    </w:p>
    <w:p w:rsidR="00DF5137" w:rsidRPr="00DF5137" w:rsidRDefault="00DF5137" w:rsidP="007B7088">
      <w:pPr>
        <w:pStyle w:val="a3"/>
        <w:numPr>
          <w:ilvl w:val="0"/>
          <w:numId w:val="11"/>
        </w:numPr>
        <w:spacing w:before="60" w:after="60" w:line="240" w:lineRule="auto"/>
        <w:ind w:left="397" w:hanging="397"/>
        <w:jc w:val="both"/>
        <w:rPr>
          <w:rFonts w:cstheme="minorHAnsi"/>
        </w:rPr>
      </w:pPr>
      <w:r w:rsidRPr="00DF5137">
        <w:rPr>
          <w:rFonts w:cstheme="minorHAnsi"/>
        </w:rPr>
        <w:t>Τις παραμέτρους που χρησιμεύουν ως βάση για τον υπολογισμό της αντιστάθμισης, οι οποίες πρέπει να καθορίζονται εκ των προτέρων με αντικειμενικό και διαφανή τρόπο. Πιο συγκεκριμένα, πρέπει εξ αρχής να αποσαφηνιστεί πώς θα καθοριστεί η αντιστάθμιση. Εφόσον παρέχεται στην επιχείρηση εύλογο κέρδος ως μέρος της αντιστάθμισης, η πράξη ανάθεσης πρέπει επίσης να καθορίζει τα κριτήρια για τον υπολογισμό του εν λόγω κέρδους. Τέλος, σε περίπτωση που προβλέπεται αναθεώρηση του ποσού της αντιστάθμισης κατά τη διάρκεια της περιόδου ανάθεσης, η πράξη ανάθεσης πρέπει να προσδιορίζει τις ρυθμίσεις για την αναθεώρηση και κάθε πιθανή επίπτωση που ενδέχεται να έχει στο συνολικό ποσό της αντιστάθμισης.</w:t>
      </w:r>
    </w:p>
    <w:p w:rsidR="00DF5137" w:rsidRPr="00DF5137" w:rsidRDefault="00DF5137" w:rsidP="007B7088">
      <w:pPr>
        <w:pStyle w:val="a3"/>
        <w:numPr>
          <w:ilvl w:val="0"/>
          <w:numId w:val="11"/>
        </w:numPr>
        <w:spacing w:before="60" w:after="60" w:line="240" w:lineRule="auto"/>
        <w:ind w:left="397" w:hanging="397"/>
        <w:jc w:val="both"/>
        <w:rPr>
          <w:rFonts w:cstheme="minorHAnsi"/>
        </w:rPr>
      </w:pPr>
      <w:r w:rsidRPr="00DF5137">
        <w:rPr>
          <w:rFonts w:cstheme="minorHAnsi"/>
        </w:rPr>
        <w:t xml:space="preserve">Τον μηχανισμό αποφυγής </w:t>
      </w:r>
      <w:proofErr w:type="spellStart"/>
      <w:r w:rsidRPr="00DF5137">
        <w:rPr>
          <w:rFonts w:cstheme="minorHAnsi"/>
        </w:rPr>
        <w:t>υπεραντιστάθμισης</w:t>
      </w:r>
      <w:proofErr w:type="spellEnd"/>
      <w:r w:rsidRPr="00DF5137">
        <w:rPr>
          <w:rFonts w:cstheme="minorHAnsi"/>
        </w:rPr>
        <w:t>, δεδομένου ότι η αντιστάθμιση δεν πρέπει να υπερβαίνει το ποσό που είναι αναγκαίο για την κάλυψη όλων ή μέρους των δαπανών που προκύπτουν από την εκπλήρωση των υποχρεώσεων δημόσιας υπηρεσίας, λαμβανομένων υπόψη των σχετικών εσόδων καθώς και ενός ευλόγου κέρδους.</w:t>
      </w:r>
    </w:p>
    <w:p w:rsidR="00DF5137" w:rsidRDefault="00DF5137" w:rsidP="00DF5137">
      <w:pPr>
        <w:spacing w:before="60" w:after="60" w:line="240" w:lineRule="auto"/>
        <w:jc w:val="both"/>
        <w:rPr>
          <w:rFonts w:cstheme="minorHAnsi"/>
          <w:lang w:val="en-US"/>
        </w:rPr>
      </w:pPr>
    </w:p>
    <w:p w:rsidR="007B7088" w:rsidRPr="007B7088" w:rsidRDefault="007B7088" w:rsidP="00DF5137">
      <w:pPr>
        <w:spacing w:before="60" w:after="60" w:line="240" w:lineRule="auto"/>
        <w:jc w:val="both"/>
        <w:rPr>
          <w:rFonts w:cstheme="minorHAnsi"/>
          <w:lang w:val="en-US"/>
        </w:rPr>
      </w:pPr>
    </w:p>
    <w:p w:rsidR="00DF5137" w:rsidRPr="007B7088" w:rsidRDefault="00DF5137" w:rsidP="00DF5137">
      <w:pPr>
        <w:spacing w:before="60" w:after="60" w:line="240" w:lineRule="auto"/>
        <w:jc w:val="both"/>
        <w:rPr>
          <w:rFonts w:cstheme="minorHAnsi"/>
          <w:b/>
          <w:sz w:val="24"/>
          <w:szCs w:val="24"/>
        </w:rPr>
      </w:pPr>
      <w:r w:rsidRPr="007B7088">
        <w:rPr>
          <w:rFonts w:cstheme="minorHAnsi"/>
          <w:b/>
          <w:sz w:val="24"/>
          <w:szCs w:val="24"/>
        </w:rPr>
        <w:t>Γενικές οδηγίες:</w:t>
      </w:r>
    </w:p>
    <w:p w:rsidR="00DF5137" w:rsidRPr="00DF5137" w:rsidRDefault="00DF5137" w:rsidP="007B7088">
      <w:pPr>
        <w:pStyle w:val="a3"/>
        <w:numPr>
          <w:ilvl w:val="0"/>
          <w:numId w:val="3"/>
        </w:numPr>
        <w:spacing w:before="60" w:after="60" w:line="240" w:lineRule="auto"/>
        <w:ind w:left="397" w:hanging="397"/>
        <w:jc w:val="both"/>
        <w:rPr>
          <w:rFonts w:cstheme="minorHAnsi"/>
        </w:rPr>
      </w:pPr>
      <w:r w:rsidRPr="00DF5137">
        <w:rPr>
          <w:rFonts w:cstheme="minorHAnsi"/>
        </w:rPr>
        <w:t xml:space="preserve">Το πιο σημαντικό τμήμα της έκθεσης είναι αυτό που αναφέρεται στον χαρακτηρισμό της υπηρεσίας ως ΥΓΟΣ και στις πληροφορίες που πρέπει να περιλαμβάνει η/οι πράξη/εις ανάθεσης (σημεία 1 &amp; 2 ανωτέρω). Για το λόγο αυτό, η έκθεση πρέπει να εστιάσει στα συγκεκριμένα θέματα και οι πληροφορίες πρέπει να είναι όσο πιο αναλυτικές </w:t>
      </w:r>
      <w:r w:rsidRPr="00DF5137">
        <w:rPr>
          <w:rFonts w:cstheme="minorHAnsi"/>
        </w:rPr>
        <w:lastRenderedPageBreak/>
        <w:t>γίνεται (π.χ. υπηρεσία με αναλυτική περιγραφή &amp; ποσοτικοποιήσεις, χάρτης για τη γεωγραφική περιοχή, κλπ.).</w:t>
      </w:r>
    </w:p>
    <w:p w:rsidR="00DF5137" w:rsidRPr="00DF5137" w:rsidRDefault="00DF5137" w:rsidP="007B7088">
      <w:pPr>
        <w:pStyle w:val="a3"/>
        <w:numPr>
          <w:ilvl w:val="0"/>
          <w:numId w:val="3"/>
        </w:numPr>
        <w:spacing w:before="60" w:after="60" w:line="240" w:lineRule="auto"/>
        <w:ind w:left="397" w:hanging="397"/>
        <w:jc w:val="both"/>
        <w:rPr>
          <w:rFonts w:cstheme="minorHAnsi"/>
        </w:rPr>
      </w:pPr>
      <w:r w:rsidRPr="00DF5137">
        <w:rPr>
          <w:rFonts w:cstheme="minorHAnsi"/>
        </w:rPr>
        <w:t>Η έκθεση ΥΓΟΣ πρέπει να εστιάσει στο τμήμα του έργου που αποτελεί την ΥΓΟΣ, το οποίο πρέπει να παρουσιάζεται ως μια υπηρεσία και ΟΧΙ ως Φυσικό Αντικείμενο Υποδομής. Είναι σκόπιμο η έκθεση ΥΓΟΣ να είναι ξεχωριστή από την χρηματοοικονομική ανάλυση και απλά στοιχειά της χ/ο να παρουσιάζονται μέσα στην έκθεση ΥΓΟΣ. Επιπλέον, αναφορές σε φυσικό αντικείμενο του συγχρηματοδοτούμενου έργου ή διάκριση σε υποέργα / υποστηρικτικές υπηρεσίες συστήνεται να μην υπάρχουν, καθώς το θεσμικό πλαίσιο των ΥΓΟΣ αφορά σε μια συνολική παρεχόμενη υπηρεσία. Για παράδειγμα ο εξοπλισμός και οι διαδικασίες προτείνεται να περιγράφονται στην αναλυτική περιγραφή της παρεχόμενης υπηρεσίας (προσδίδοντας έμφαση στην υπηρεσία που παρέχεται και όχι στις τεχνικές λεπτομέρειες του εξοπλισμού ή των διαδικασιών), ενώ οι δαπάνες για την επένδυση (κατασκευή κτιριακών υποδομών, εξοπλισμός, οχήματα, αγορά γης, κλπ.) και τις υποστηρικτικές ενέργειες (π.χ. τεχνικός σύμβουλος, δράσεις ευαισθητοποίησης και δημοσιότητας, κλπ.) προτείνεται να περιληφθούν στα έξοδα.</w:t>
      </w:r>
    </w:p>
    <w:p w:rsidR="00DF5137" w:rsidRPr="00DF5137" w:rsidRDefault="00DF5137" w:rsidP="007B7088">
      <w:pPr>
        <w:pStyle w:val="a3"/>
        <w:numPr>
          <w:ilvl w:val="0"/>
          <w:numId w:val="3"/>
        </w:numPr>
        <w:spacing w:before="60" w:after="60" w:line="240" w:lineRule="auto"/>
        <w:ind w:left="397" w:hanging="397"/>
        <w:jc w:val="both"/>
        <w:rPr>
          <w:rFonts w:cstheme="minorHAnsi"/>
        </w:rPr>
      </w:pPr>
      <w:r w:rsidRPr="00DF5137">
        <w:rPr>
          <w:rFonts w:cstheme="minorHAnsi"/>
        </w:rPr>
        <w:t>Οι παράμετροι για τον υπολογισμό της αντιστάθμισης πρέπει να αναφερθούν ονομαστικά και περιληπτικά, ως κατηγορίες εσόδων και δαπανών. Η ποσοτικοποίηση τους -η οποία αποτελεί και τον τρόπο καθορισμού της αντιστάθμισης- γίνεται στην χρηματοοικονομική ανάλυση που υποβάλλεται για τις ανάγκες ένταξης του έργου στο ΕΣΠΑ 2014-2020, στοιχεία της οποίας είναι σκόπιμο να περιληφθούν στην έκθεση ΥΓΟΣ.</w:t>
      </w:r>
    </w:p>
    <w:p w:rsidR="00DF5137" w:rsidRPr="00DF5137" w:rsidRDefault="00DF5137" w:rsidP="007B7088">
      <w:pPr>
        <w:pStyle w:val="a3"/>
        <w:numPr>
          <w:ilvl w:val="0"/>
          <w:numId w:val="3"/>
        </w:numPr>
        <w:spacing w:before="60" w:after="60" w:line="240" w:lineRule="auto"/>
        <w:ind w:left="397" w:hanging="397"/>
        <w:jc w:val="both"/>
        <w:rPr>
          <w:rFonts w:cstheme="minorHAnsi"/>
        </w:rPr>
      </w:pPr>
      <w:r w:rsidRPr="00DF5137">
        <w:rPr>
          <w:rFonts w:cstheme="minorHAnsi"/>
        </w:rPr>
        <w:t>Σε περίπτωση έργου που περιλαμβάνει επένδυση που αφορά σε ΥΓΟΣ και επένδυση που αφορά σε κρατική ενίσχυση μέσω του Γενικού Απαλλακτικού Κανονισμού 651/2014 -ΓΑΚ- (π.χ. επένδυση για την ενεργειακή αξιοποίηση του βιοαερίου) πρέπει να υπάρχει καταμερισμός των δαπανών στα δυο επιμέρους έργα. Ειδικότερα, για τον υπολογισμό της αντιστάθμισης πρέπει να λαμβάνοντ</w:t>
      </w:r>
      <w:r w:rsidRPr="00DF5137">
        <w:rPr>
          <w:rFonts w:cstheme="minorHAnsi"/>
        </w:rPr>
        <w:t xml:space="preserve">αι υπόψη </w:t>
      </w:r>
      <w:r w:rsidRPr="00DF5137">
        <w:rPr>
          <w:rFonts w:cstheme="minorHAnsi"/>
        </w:rPr>
        <w:t xml:space="preserve">μόνο τα έξοδα που σχετίζονται με την παροχή της ΥΓΟΣ (συγκεκριμένο προσωπικό, ποσότητα καυσίμων, ποσότητα ηλεκτρικής ενέργειας, κλπ.), ενώ η βάση καταμερισμού των εξόδων (&amp; του κόστους επένδυσης) πρέπει να είναι σαφώς τεκμηριωμένη (π.χ. αναλογικά / </w:t>
      </w:r>
      <w:proofErr w:type="spellStart"/>
      <w:r w:rsidRPr="00DF5137">
        <w:rPr>
          <w:rFonts w:cstheme="minorHAnsi"/>
        </w:rPr>
        <w:t>pro</w:t>
      </w:r>
      <w:proofErr w:type="spellEnd"/>
      <w:r w:rsidRPr="00DF5137">
        <w:rPr>
          <w:rFonts w:cstheme="minorHAnsi"/>
        </w:rPr>
        <w:t xml:space="preserve"> </w:t>
      </w:r>
      <w:proofErr w:type="spellStart"/>
      <w:r w:rsidRPr="00DF5137">
        <w:rPr>
          <w:rFonts w:cstheme="minorHAnsi"/>
        </w:rPr>
        <w:t>rata</w:t>
      </w:r>
      <w:proofErr w:type="spellEnd"/>
      <w:r w:rsidRPr="00DF5137">
        <w:rPr>
          <w:rFonts w:cstheme="minorHAnsi"/>
        </w:rPr>
        <w:t>). Σημειώνεται ότι όλα αυτά πρέπει να συνδέονται και να τεκμηριώνονται και μέσω της αναλυτικής περιγραφής της ΥΓΟΣ (π.χ. καύσιμα λόγω υπηρεσιών φόρτωσης που έχουν περιγραφεί στην αναλυτική περιγραφή της παρεχόμενης δημόσιας υπηρεσίας), καθώς τα δεδομένα εσόδων – εξόδων (&amp; κόστους επένδυσης) θα αποτελέσουν αντικείμενο μελλοντικών ελέγχων.</w:t>
      </w:r>
    </w:p>
    <w:p w:rsidR="00DF5137" w:rsidRPr="00DF5137" w:rsidRDefault="00DF5137" w:rsidP="007B7088">
      <w:pPr>
        <w:spacing w:before="60" w:after="60" w:line="240" w:lineRule="auto"/>
        <w:ind w:left="397"/>
        <w:jc w:val="both"/>
        <w:rPr>
          <w:rFonts w:cstheme="minorHAnsi"/>
        </w:rPr>
      </w:pPr>
      <w:r w:rsidRPr="00DF5137">
        <w:rPr>
          <w:rFonts w:cstheme="minorHAnsi"/>
        </w:rPr>
        <w:t>Όσον αφορά στα έσοδα, πρέπει να λαμβάνονται υπόψη κατά τον υπολογισμό της αντιστάθμισης της ΥΓΟΣ τα καθαρά έσοδα από την κρατική ενίσχυση μέσω του ΓΑΚ (βλέπε και σημειώσεις για το κεφάλαιο 7 της έκθεσης).</w:t>
      </w:r>
    </w:p>
    <w:p w:rsidR="00DF5137" w:rsidRPr="00DF5137" w:rsidRDefault="00DF5137" w:rsidP="007B7088">
      <w:pPr>
        <w:spacing w:before="60" w:after="60" w:line="240" w:lineRule="auto"/>
        <w:ind w:left="397"/>
        <w:jc w:val="both"/>
        <w:rPr>
          <w:rFonts w:cstheme="minorHAnsi"/>
        </w:rPr>
      </w:pPr>
      <w:r w:rsidRPr="00DF5137">
        <w:rPr>
          <w:rFonts w:cstheme="minorHAnsi"/>
        </w:rPr>
        <w:t>Επιπλέον, η έκθεση τεκμηρίωσης πρέπει να παραθέτει τα στοιχεία που αφορούν στην ΥΓΟΣ και οι πληροφορίες και τα δεδομένα για την επένδυση / κρατική ενίσχυση μέσω του ΓΑΚ πρέπει να παρατεθούν σε διακριτή έκθεση.</w:t>
      </w:r>
    </w:p>
    <w:p w:rsidR="00F76233" w:rsidRPr="00DF5137" w:rsidRDefault="00DF5137" w:rsidP="007B7088">
      <w:pPr>
        <w:pStyle w:val="a3"/>
        <w:numPr>
          <w:ilvl w:val="0"/>
          <w:numId w:val="3"/>
        </w:numPr>
        <w:spacing w:before="60" w:after="60" w:line="240" w:lineRule="auto"/>
        <w:ind w:left="397" w:hanging="397"/>
        <w:jc w:val="both"/>
        <w:rPr>
          <w:rFonts w:cstheme="minorHAnsi"/>
        </w:rPr>
      </w:pPr>
      <w:bookmarkStart w:id="0" w:name="_GoBack"/>
      <w:bookmarkEnd w:id="0"/>
      <w:r w:rsidRPr="00DF5137">
        <w:rPr>
          <w:rFonts w:cstheme="minorHAnsi"/>
        </w:rPr>
        <w:t xml:space="preserve">Σχετικά με τον μηχανισμό αποφυγής της </w:t>
      </w:r>
      <w:proofErr w:type="spellStart"/>
      <w:r w:rsidRPr="00DF5137">
        <w:rPr>
          <w:rFonts w:cstheme="minorHAnsi"/>
        </w:rPr>
        <w:t>υπεραντιστάθμισης</w:t>
      </w:r>
      <w:proofErr w:type="spellEnd"/>
      <w:r w:rsidRPr="00DF5137">
        <w:rPr>
          <w:rFonts w:cstheme="minorHAnsi"/>
        </w:rPr>
        <w:t xml:space="preserve">, σε συνεργασία με την ΕΥΔ ΥΜΕΠΕΡΑΑ, έχει αναπτυχθεί πρόταση, η οποία προτείνεται να αποτελέσει τη βάση της </w:t>
      </w:r>
      <w:r w:rsidRPr="00DF5137">
        <w:rPr>
          <w:rFonts w:cstheme="minorHAnsi"/>
        </w:rPr>
        <w:lastRenderedPageBreak/>
        <w:t>έκθεσης. Σημειώνεται ότι γίνεται προσπάθεια προσδιορισμού του μηχανισμού και του οργάνου επαλήθευσης σε συνολικό επίπεδο για τον τομέα διαχείρισης απορριμμάτων και θα υπάρξει νεότερη ενημέρωση για το θέμα αυτό.</w:t>
      </w:r>
    </w:p>
    <w:sectPr w:rsidR="00F76233" w:rsidRPr="00DF5137">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83E" w:rsidRDefault="00BE483E" w:rsidP="00BE483E">
      <w:pPr>
        <w:spacing w:after="0" w:line="240" w:lineRule="auto"/>
      </w:pPr>
      <w:r>
        <w:separator/>
      </w:r>
    </w:p>
  </w:endnote>
  <w:endnote w:type="continuationSeparator" w:id="0">
    <w:p w:rsidR="00BE483E" w:rsidRDefault="00BE483E" w:rsidP="00BE4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088" w:rsidRPr="007B7088" w:rsidRDefault="007B7088" w:rsidP="007B7088">
    <w:pPr>
      <w:pStyle w:val="a5"/>
      <w:pBdr>
        <w:top w:val="thinThickSmallGap" w:sz="24" w:space="1" w:color="622423" w:themeColor="accent2" w:themeShade="7F"/>
      </w:pBdr>
      <w:rPr>
        <w:rFonts w:eastAsiaTheme="majorEastAsia" w:cstheme="minorHAnsi"/>
        <w:i/>
        <w:sz w:val="20"/>
        <w:szCs w:val="20"/>
      </w:rPr>
    </w:pPr>
    <w:r w:rsidRPr="007B7088">
      <w:rPr>
        <w:rFonts w:eastAsiaTheme="majorEastAsia" w:cstheme="minorHAnsi"/>
        <w:i/>
        <w:sz w:val="20"/>
        <w:szCs w:val="20"/>
      </w:rPr>
      <w:t xml:space="preserve"> </w:t>
    </w:r>
    <w:r w:rsidRPr="007B7088">
      <w:rPr>
        <w:rFonts w:cstheme="minorHAnsi"/>
        <w:i/>
        <w:sz w:val="20"/>
        <w:szCs w:val="20"/>
      </w:rPr>
      <w:t xml:space="preserve"> </w:t>
    </w:r>
    <w:r w:rsidRPr="007B7088">
      <w:rPr>
        <w:rFonts w:cstheme="minorHAnsi"/>
        <w:i/>
        <w:iCs/>
        <w:sz w:val="20"/>
        <w:szCs w:val="20"/>
      </w:rPr>
      <w:t>Ειδική Υπηρεσία Κρατικών Ενισχύσεων</w:t>
    </w:r>
    <w:r w:rsidRPr="007B7088">
      <w:rPr>
        <w:rFonts w:eastAsiaTheme="majorEastAsia" w:cstheme="minorHAnsi"/>
        <w:i/>
        <w:sz w:val="20"/>
        <w:szCs w:val="20"/>
      </w:rPr>
      <w:ptab w:relativeTo="margin" w:alignment="right" w:leader="none"/>
    </w:r>
    <w:r w:rsidRPr="007B7088">
      <w:rPr>
        <w:rFonts w:eastAsiaTheme="majorEastAsia" w:cstheme="minorHAnsi"/>
        <w:i/>
        <w:sz w:val="20"/>
        <w:szCs w:val="20"/>
      </w:rPr>
      <w:t xml:space="preserve">Σελίδα </w:t>
    </w:r>
    <w:r w:rsidRPr="007B7088">
      <w:rPr>
        <w:rFonts w:eastAsiaTheme="minorEastAsia" w:cstheme="minorHAnsi"/>
        <w:i/>
        <w:sz w:val="20"/>
        <w:szCs w:val="20"/>
      </w:rPr>
      <w:fldChar w:fldCharType="begin"/>
    </w:r>
    <w:r w:rsidRPr="007B7088">
      <w:rPr>
        <w:rFonts w:cstheme="minorHAnsi"/>
        <w:i/>
        <w:sz w:val="20"/>
        <w:szCs w:val="20"/>
      </w:rPr>
      <w:instrText>PAGE   \* MERGEFORMAT</w:instrText>
    </w:r>
    <w:r w:rsidRPr="007B7088">
      <w:rPr>
        <w:rFonts w:eastAsiaTheme="minorEastAsia" w:cstheme="minorHAnsi"/>
        <w:i/>
        <w:sz w:val="20"/>
        <w:szCs w:val="20"/>
      </w:rPr>
      <w:fldChar w:fldCharType="separate"/>
    </w:r>
    <w:r w:rsidR="009A0B55" w:rsidRPr="009A0B55">
      <w:rPr>
        <w:rFonts w:eastAsiaTheme="majorEastAsia" w:cstheme="minorHAnsi"/>
        <w:i/>
        <w:noProof/>
        <w:sz w:val="20"/>
        <w:szCs w:val="20"/>
      </w:rPr>
      <w:t>7</w:t>
    </w:r>
    <w:r w:rsidRPr="007B7088">
      <w:rPr>
        <w:rFonts w:eastAsiaTheme="majorEastAsia" w:cstheme="minorHAnsi"/>
        <w:i/>
        <w:sz w:val="20"/>
        <w:szCs w:val="20"/>
      </w:rPr>
      <w:fldChar w:fldCharType="end"/>
    </w:r>
  </w:p>
  <w:p w:rsidR="00BE483E" w:rsidRDefault="00BE483E" w:rsidP="007B708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83E" w:rsidRDefault="00BE483E" w:rsidP="00BE483E">
      <w:pPr>
        <w:spacing w:after="0" w:line="240" w:lineRule="auto"/>
      </w:pPr>
      <w:r>
        <w:separator/>
      </w:r>
    </w:p>
  </w:footnote>
  <w:footnote w:type="continuationSeparator" w:id="0">
    <w:p w:rsidR="00BE483E" w:rsidRDefault="00BE483E" w:rsidP="00BE48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83E" w:rsidRDefault="00BE483E" w:rsidP="00BE483E">
    <w:pPr>
      <w:pStyle w:val="Default"/>
    </w:pPr>
  </w:p>
  <w:p w:rsidR="00BE483E" w:rsidRPr="00BE483E" w:rsidRDefault="00BE483E" w:rsidP="00BE483E">
    <w:pPr>
      <w:pStyle w:val="a4"/>
      <w:jc w:val="center"/>
    </w:pPr>
    <w:r w:rsidRPr="00BE483E">
      <w:rPr>
        <w:b/>
        <w:bCs/>
      </w:rPr>
      <w:t>Περιεχόμενα Έκθεσης Τεκμηρίωσης ΥΓΟΣ - Οδηγίες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C2101"/>
    <w:multiLevelType w:val="hybridMultilevel"/>
    <w:tmpl w:val="FB3CC272"/>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7BC10AA"/>
    <w:multiLevelType w:val="hybridMultilevel"/>
    <w:tmpl w:val="F140CF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455172FD"/>
    <w:multiLevelType w:val="hybridMultilevel"/>
    <w:tmpl w:val="6C00A372"/>
    <w:lvl w:ilvl="0" w:tplc="7C4AB2A0">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45865B67"/>
    <w:multiLevelType w:val="hybridMultilevel"/>
    <w:tmpl w:val="24005958"/>
    <w:lvl w:ilvl="0" w:tplc="69F6996A">
      <w:start w:val="3"/>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5112740E"/>
    <w:multiLevelType w:val="hybridMultilevel"/>
    <w:tmpl w:val="0042591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62AE0563"/>
    <w:multiLevelType w:val="hybridMultilevel"/>
    <w:tmpl w:val="B3B0E34E"/>
    <w:lvl w:ilvl="0" w:tplc="7C4AB2A0">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697E43B2"/>
    <w:multiLevelType w:val="hybridMultilevel"/>
    <w:tmpl w:val="AAAC357E"/>
    <w:lvl w:ilvl="0" w:tplc="7C4AB2A0">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6E003338"/>
    <w:multiLevelType w:val="hybridMultilevel"/>
    <w:tmpl w:val="3ADA305A"/>
    <w:lvl w:ilvl="0" w:tplc="7C4AB2A0">
      <w:numFmt w:val="bullet"/>
      <w:lvlText w:val="•"/>
      <w:lvlJc w:val="left"/>
      <w:pPr>
        <w:ind w:left="1440" w:hanging="720"/>
      </w:pPr>
      <w:rPr>
        <w:rFonts w:ascii="Calibri" w:eastAsiaTheme="minorHAns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nsid w:val="70210458"/>
    <w:multiLevelType w:val="hybridMultilevel"/>
    <w:tmpl w:val="9210E6AC"/>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71BF0FD9"/>
    <w:multiLevelType w:val="hybridMultilevel"/>
    <w:tmpl w:val="7C7AD28E"/>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743E4EEA"/>
    <w:multiLevelType w:val="hybridMultilevel"/>
    <w:tmpl w:val="6F547530"/>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7CA110DF"/>
    <w:multiLevelType w:val="hybridMultilevel"/>
    <w:tmpl w:val="1C30A1A2"/>
    <w:lvl w:ilvl="0" w:tplc="7C4AB2A0">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7"/>
  </w:num>
  <w:num w:numId="4">
    <w:abstractNumId w:val="4"/>
  </w:num>
  <w:num w:numId="5">
    <w:abstractNumId w:val="9"/>
  </w:num>
  <w:num w:numId="6">
    <w:abstractNumId w:val="10"/>
  </w:num>
  <w:num w:numId="7">
    <w:abstractNumId w:val="6"/>
  </w:num>
  <w:num w:numId="8">
    <w:abstractNumId w:val="3"/>
  </w:num>
  <w:num w:numId="9">
    <w:abstractNumId w:val="2"/>
  </w:num>
  <w:num w:numId="10">
    <w:abstractNumId w:val="8"/>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137"/>
    <w:rsid w:val="00212216"/>
    <w:rsid w:val="007B7088"/>
    <w:rsid w:val="009A0B55"/>
    <w:rsid w:val="00AA2090"/>
    <w:rsid w:val="00BE483E"/>
    <w:rsid w:val="00DF5137"/>
    <w:rsid w:val="00F7623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5137"/>
    <w:pPr>
      <w:ind w:left="720"/>
      <w:contextualSpacing/>
    </w:pPr>
  </w:style>
  <w:style w:type="paragraph" w:styleId="a4">
    <w:name w:val="header"/>
    <w:basedOn w:val="a"/>
    <w:link w:val="Char"/>
    <w:uiPriority w:val="99"/>
    <w:unhideWhenUsed/>
    <w:rsid w:val="00BE483E"/>
    <w:pPr>
      <w:tabs>
        <w:tab w:val="center" w:pos="4153"/>
        <w:tab w:val="right" w:pos="8306"/>
      </w:tabs>
      <w:spacing w:after="0" w:line="240" w:lineRule="auto"/>
    </w:pPr>
  </w:style>
  <w:style w:type="character" w:customStyle="1" w:styleId="Char">
    <w:name w:val="Κεφαλίδα Char"/>
    <w:basedOn w:val="a0"/>
    <w:link w:val="a4"/>
    <w:uiPriority w:val="99"/>
    <w:rsid w:val="00BE483E"/>
  </w:style>
  <w:style w:type="paragraph" w:styleId="a5">
    <w:name w:val="footer"/>
    <w:basedOn w:val="a"/>
    <w:link w:val="Char0"/>
    <w:uiPriority w:val="99"/>
    <w:unhideWhenUsed/>
    <w:rsid w:val="00BE483E"/>
    <w:pPr>
      <w:tabs>
        <w:tab w:val="center" w:pos="4153"/>
        <w:tab w:val="right" w:pos="8306"/>
      </w:tabs>
      <w:spacing w:after="0" w:line="240" w:lineRule="auto"/>
    </w:pPr>
  </w:style>
  <w:style w:type="character" w:customStyle="1" w:styleId="Char0">
    <w:name w:val="Υποσέλιδο Char"/>
    <w:basedOn w:val="a0"/>
    <w:link w:val="a5"/>
    <w:uiPriority w:val="99"/>
    <w:rsid w:val="00BE483E"/>
  </w:style>
  <w:style w:type="paragraph" w:customStyle="1" w:styleId="Default">
    <w:name w:val="Default"/>
    <w:rsid w:val="00BE483E"/>
    <w:pPr>
      <w:autoSpaceDE w:val="0"/>
      <w:autoSpaceDN w:val="0"/>
      <w:adjustRightInd w:val="0"/>
      <w:spacing w:after="0" w:line="240" w:lineRule="auto"/>
    </w:pPr>
    <w:rPr>
      <w:rFonts w:ascii="Calibri" w:hAnsi="Calibri" w:cs="Calibri"/>
      <w:color w:val="000000"/>
      <w:sz w:val="24"/>
      <w:szCs w:val="24"/>
    </w:rPr>
  </w:style>
  <w:style w:type="paragraph" w:styleId="a6">
    <w:name w:val="Balloon Text"/>
    <w:basedOn w:val="a"/>
    <w:link w:val="Char1"/>
    <w:uiPriority w:val="99"/>
    <w:semiHidden/>
    <w:unhideWhenUsed/>
    <w:rsid w:val="007B7088"/>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7B70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5137"/>
    <w:pPr>
      <w:ind w:left="720"/>
      <w:contextualSpacing/>
    </w:pPr>
  </w:style>
  <w:style w:type="paragraph" w:styleId="a4">
    <w:name w:val="header"/>
    <w:basedOn w:val="a"/>
    <w:link w:val="Char"/>
    <w:uiPriority w:val="99"/>
    <w:unhideWhenUsed/>
    <w:rsid w:val="00BE483E"/>
    <w:pPr>
      <w:tabs>
        <w:tab w:val="center" w:pos="4153"/>
        <w:tab w:val="right" w:pos="8306"/>
      </w:tabs>
      <w:spacing w:after="0" w:line="240" w:lineRule="auto"/>
    </w:pPr>
  </w:style>
  <w:style w:type="character" w:customStyle="1" w:styleId="Char">
    <w:name w:val="Κεφαλίδα Char"/>
    <w:basedOn w:val="a0"/>
    <w:link w:val="a4"/>
    <w:uiPriority w:val="99"/>
    <w:rsid w:val="00BE483E"/>
  </w:style>
  <w:style w:type="paragraph" w:styleId="a5">
    <w:name w:val="footer"/>
    <w:basedOn w:val="a"/>
    <w:link w:val="Char0"/>
    <w:uiPriority w:val="99"/>
    <w:unhideWhenUsed/>
    <w:rsid w:val="00BE483E"/>
    <w:pPr>
      <w:tabs>
        <w:tab w:val="center" w:pos="4153"/>
        <w:tab w:val="right" w:pos="8306"/>
      </w:tabs>
      <w:spacing w:after="0" w:line="240" w:lineRule="auto"/>
    </w:pPr>
  </w:style>
  <w:style w:type="character" w:customStyle="1" w:styleId="Char0">
    <w:name w:val="Υποσέλιδο Char"/>
    <w:basedOn w:val="a0"/>
    <w:link w:val="a5"/>
    <w:uiPriority w:val="99"/>
    <w:rsid w:val="00BE483E"/>
  </w:style>
  <w:style w:type="paragraph" w:customStyle="1" w:styleId="Default">
    <w:name w:val="Default"/>
    <w:rsid w:val="00BE483E"/>
    <w:pPr>
      <w:autoSpaceDE w:val="0"/>
      <w:autoSpaceDN w:val="0"/>
      <w:adjustRightInd w:val="0"/>
      <w:spacing w:after="0" w:line="240" w:lineRule="auto"/>
    </w:pPr>
    <w:rPr>
      <w:rFonts w:ascii="Calibri" w:hAnsi="Calibri" w:cs="Calibri"/>
      <w:color w:val="000000"/>
      <w:sz w:val="24"/>
      <w:szCs w:val="24"/>
    </w:rPr>
  </w:style>
  <w:style w:type="paragraph" w:styleId="a6">
    <w:name w:val="Balloon Text"/>
    <w:basedOn w:val="a"/>
    <w:link w:val="Char1"/>
    <w:uiPriority w:val="99"/>
    <w:semiHidden/>
    <w:unhideWhenUsed/>
    <w:rsid w:val="007B7088"/>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7B70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9</Pages>
  <Words>3215</Words>
  <Characters>17367</Characters>
  <Application>Microsoft Office Word</Application>
  <DocSecurity>0</DocSecurity>
  <Lines>144</Lines>
  <Paragraphs>41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ΧΑΤΖΗΙΩΑΝΝΟΥ ΤΡΥΦΩΝΑΣ</dc:creator>
  <cp:lastModifiedBy>ΧΑΤΖΗΙΩΑΝΝΟΥ ΤΡΥΦΩΝΑΣ</cp:lastModifiedBy>
  <cp:revision>1</cp:revision>
  <dcterms:created xsi:type="dcterms:W3CDTF">2017-04-27T07:44:00Z</dcterms:created>
  <dcterms:modified xsi:type="dcterms:W3CDTF">2017-04-27T08:38:00Z</dcterms:modified>
</cp:coreProperties>
</file>