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A3A76" w14:textId="77777777" w:rsidR="009C7AF9" w:rsidRPr="00637C10" w:rsidRDefault="009C7AF9" w:rsidP="00637C10">
      <w:pPr>
        <w:pStyle w:val="BodyText21"/>
        <w:spacing w:after="120" w:line="240" w:lineRule="auto"/>
        <w:ind w:right="26"/>
        <w:outlineLvl w:val="0"/>
        <w:rPr>
          <w:rFonts w:ascii="Tahoma" w:hAnsi="Tahoma" w:cs="Tahoma"/>
          <w:b/>
          <w:sz w:val="20"/>
        </w:rPr>
      </w:pPr>
      <w:r w:rsidRPr="0024764A">
        <w:rPr>
          <w:rFonts w:ascii="Tahoma" w:hAnsi="Tahoma" w:cs="Tahoma"/>
          <w:b/>
          <w:sz w:val="20"/>
        </w:rPr>
        <w:t xml:space="preserve">ΠΑΡΑΡΤΗΜΑ </w:t>
      </w:r>
      <w:r w:rsidR="00755736" w:rsidRPr="0024764A">
        <w:rPr>
          <w:rFonts w:ascii="Tahoma" w:hAnsi="Tahoma" w:cs="Tahoma"/>
          <w:b/>
          <w:sz w:val="20"/>
        </w:rPr>
        <w:t>ΙΙΙ</w:t>
      </w:r>
      <w:r w:rsidRPr="0024764A">
        <w:rPr>
          <w:rFonts w:ascii="Tahoma" w:hAnsi="Tahoma" w:cs="Tahoma"/>
          <w:b/>
          <w:sz w:val="20"/>
        </w:rPr>
        <w:t xml:space="preserve"> </w:t>
      </w:r>
      <w:r w:rsidR="00EC654E" w:rsidRPr="0024764A">
        <w:rPr>
          <w:rFonts w:ascii="Tahoma" w:hAnsi="Tahoma" w:cs="Tahoma"/>
          <w:b/>
          <w:sz w:val="20"/>
        </w:rPr>
        <w:t>–</w:t>
      </w:r>
      <w:r w:rsidRPr="0024764A">
        <w:rPr>
          <w:rFonts w:ascii="Tahoma" w:hAnsi="Tahoma" w:cs="Tahoma"/>
          <w:b/>
          <w:sz w:val="20"/>
        </w:rPr>
        <w:t xml:space="preserve"> </w:t>
      </w:r>
      <w:r w:rsidR="00EC654E" w:rsidRPr="0024764A">
        <w:rPr>
          <w:rFonts w:ascii="Tahoma" w:hAnsi="Tahoma" w:cs="Tahoma"/>
          <w:b/>
          <w:sz w:val="20"/>
        </w:rPr>
        <w:t>Έλεγχος τήρησης υποχρεώσεων του Κανονισμού (ΕΕ) αριθ. 651/2014 της Επιτροπής, της 17</w:t>
      </w:r>
      <w:r w:rsidR="00EC654E" w:rsidRPr="0024764A">
        <w:rPr>
          <w:rFonts w:ascii="Tahoma" w:hAnsi="Tahoma" w:cs="Tahoma"/>
          <w:b/>
          <w:sz w:val="20"/>
          <w:vertAlign w:val="superscript"/>
        </w:rPr>
        <w:t>ης</w:t>
      </w:r>
      <w:r w:rsidR="00EC654E" w:rsidRPr="0024764A">
        <w:rPr>
          <w:rFonts w:ascii="Tahoma" w:hAnsi="Tahoma" w:cs="Tahoma"/>
          <w:b/>
          <w:sz w:val="20"/>
        </w:rPr>
        <w:t xml:space="preserve"> Ιουνίου 2014, για την </w:t>
      </w:r>
      <w:r w:rsidR="00313779" w:rsidRPr="0024764A">
        <w:rPr>
          <w:rFonts w:ascii="Tahoma" w:hAnsi="Tahoma" w:cs="Tahoma"/>
          <w:b/>
          <w:sz w:val="20"/>
        </w:rPr>
        <w:t>κήρυξη</w:t>
      </w:r>
      <w:r w:rsidR="00EC654E" w:rsidRPr="0024764A">
        <w:rPr>
          <w:rFonts w:ascii="Tahoma" w:hAnsi="Tahoma" w:cs="Tahoma"/>
          <w:b/>
          <w:sz w:val="20"/>
        </w:rPr>
        <w:t xml:space="preserve"> ορισμένων κατηγοριών ενισχύσεων ως συμβατών με την εσωτερική αγορά κατ’ εφαρμογή των άρθρων 107 και 108 της Συνθήκες (Γ</w:t>
      </w:r>
      <w:r w:rsidR="00880E0A" w:rsidRPr="0024764A">
        <w:rPr>
          <w:rFonts w:ascii="Tahoma" w:hAnsi="Tahoma" w:cs="Tahoma"/>
          <w:b/>
          <w:sz w:val="20"/>
        </w:rPr>
        <w:t>ενικός Απαλλακτικός Κανονισμός - Γ</w:t>
      </w:r>
      <w:r w:rsidR="00EC654E" w:rsidRPr="0024764A">
        <w:rPr>
          <w:rFonts w:ascii="Tahoma" w:hAnsi="Tahoma" w:cs="Tahoma"/>
          <w:b/>
          <w:sz w:val="20"/>
        </w:rPr>
        <w:t>ΑΚ)</w:t>
      </w:r>
      <w:r w:rsidR="00013413" w:rsidRPr="0024764A">
        <w:rPr>
          <w:rFonts w:ascii="Tahoma" w:hAnsi="Tahoma" w:cs="Tahoma"/>
          <w:b/>
          <w:sz w:val="20"/>
        </w:rPr>
        <w:t xml:space="preserve">, όπως </w:t>
      </w:r>
      <w:r w:rsidR="0024764A">
        <w:rPr>
          <w:rFonts w:ascii="Tahoma" w:hAnsi="Tahoma" w:cs="Tahoma"/>
          <w:b/>
          <w:sz w:val="20"/>
        </w:rPr>
        <w:t>έχει τροποποιηθεί και ισχύει με τον Κανονισμό (ΕΕ) 2017/1084 της Επιτροπής της 14</w:t>
      </w:r>
      <w:r w:rsidR="0024764A" w:rsidRPr="0024764A">
        <w:rPr>
          <w:rFonts w:ascii="Tahoma" w:hAnsi="Tahoma" w:cs="Tahoma"/>
          <w:b/>
          <w:sz w:val="20"/>
          <w:vertAlign w:val="superscript"/>
        </w:rPr>
        <w:t>ης</w:t>
      </w:r>
      <w:r w:rsidR="0024764A">
        <w:rPr>
          <w:rFonts w:ascii="Tahoma" w:hAnsi="Tahoma" w:cs="Tahoma"/>
          <w:b/>
          <w:sz w:val="20"/>
        </w:rPr>
        <w:t xml:space="preserve"> Ιουνίου 2017 για την τροποποίηση του κανονισμού (ΕΕ) αριθ. 651/2014 όσον αφορά τις ενισχύσεις για τις λιμενικές και αερολιμενικές υποδομές, τα όρια κοινοποίησης για τις ενισχύσεις για τον πολιτισμό και τη διατήρηση της κληρονομιά</w:t>
      </w:r>
      <w:r w:rsidR="003D41A5">
        <w:rPr>
          <w:rFonts w:ascii="Tahoma" w:hAnsi="Tahoma" w:cs="Tahoma"/>
          <w:b/>
          <w:sz w:val="20"/>
        </w:rPr>
        <w:t xml:space="preserve">ς και για τις ενισχύσεις για αθλητικές υποδομές και </w:t>
      </w:r>
      <w:proofErr w:type="spellStart"/>
      <w:r w:rsidR="003D41A5">
        <w:rPr>
          <w:rFonts w:ascii="Tahoma" w:hAnsi="Tahoma" w:cs="Tahoma"/>
          <w:b/>
          <w:sz w:val="20"/>
        </w:rPr>
        <w:t>πολυλειτουργικές</w:t>
      </w:r>
      <w:proofErr w:type="spellEnd"/>
      <w:r w:rsidR="003D41A5">
        <w:rPr>
          <w:rFonts w:ascii="Tahoma" w:hAnsi="Tahoma" w:cs="Tahoma"/>
          <w:b/>
          <w:sz w:val="20"/>
        </w:rPr>
        <w:t xml:space="preserve"> ψυχαγωγικές υποδομές, καθώς και τα καθεστώτα περιφερειακών ενισχύσεων λειτουργίας για τις εξόχως απόκεντρες περιοχές, και για την τροποποίηση του κανονισμού (ΕΕ) αριθ.702/2014 όσον αφορά τον υπολογισμό των επιλέξιμων δαπανών.</w:t>
      </w:r>
    </w:p>
    <w:p w14:paraId="48E16535" w14:textId="77777777" w:rsidR="00313779" w:rsidRPr="00637C10" w:rsidRDefault="00313779" w:rsidP="00637C10">
      <w:pPr>
        <w:pStyle w:val="BodyText21"/>
        <w:spacing w:after="120" w:line="240" w:lineRule="auto"/>
        <w:ind w:right="26"/>
        <w:outlineLvl w:val="0"/>
        <w:rPr>
          <w:rFonts w:ascii="Tahoma" w:hAnsi="Tahoma" w:cs="Tahoma"/>
          <w:b/>
          <w:sz w:val="20"/>
        </w:rPr>
      </w:pPr>
    </w:p>
    <w:p w14:paraId="09F47FC5" w14:textId="77777777"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 xml:space="preserve">Α. Υποχρεώσεις Γενικού μέρους </w:t>
      </w:r>
      <w:r w:rsidR="00784ED5" w:rsidRPr="00637C10">
        <w:rPr>
          <w:rFonts w:ascii="Tahoma" w:hAnsi="Tahoma" w:cs="Tahoma"/>
          <w:b/>
          <w:sz w:val="20"/>
        </w:rPr>
        <w:t xml:space="preserve">(Κεφαλαίου Ι) </w:t>
      </w:r>
      <w:r w:rsidRPr="00637C10">
        <w:rPr>
          <w:rFonts w:ascii="Tahoma" w:hAnsi="Tahoma" w:cs="Tahoma"/>
          <w:b/>
          <w:sz w:val="20"/>
        </w:rPr>
        <w:t>του ΓΑΚ</w:t>
      </w:r>
    </w:p>
    <w:p w14:paraId="4FC9F85C" w14:textId="1DC51C9C" w:rsidR="00AF64AE" w:rsidRPr="00637C10" w:rsidRDefault="00AF64AE" w:rsidP="002D242C">
      <w:pPr>
        <w:spacing w:after="120" w:line="240" w:lineRule="auto"/>
        <w:ind w:left="284"/>
        <w:jc w:val="both"/>
        <w:rPr>
          <w:rFonts w:ascii="Tahoma" w:hAnsi="Tahoma" w:cs="Tahoma"/>
          <w:sz w:val="20"/>
          <w:szCs w:val="20"/>
        </w:rPr>
      </w:pPr>
      <w:r w:rsidRPr="00637C10">
        <w:rPr>
          <w:rFonts w:ascii="Tahoma" w:hAnsi="Tahoma" w:cs="Tahoma"/>
          <w:sz w:val="20"/>
          <w:szCs w:val="20"/>
        </w:rPr>
        <w:t>Πρέπει να τηρούνται τα ακόλουθα</w:t>
      </w:r>
      <w:r w:rsidR="00C06212" w:rsidRPr="00637C10">
        <w:rPr>
          <w:rFonts w:ascii="Tahoma" w:hAnsi="Tahoma" w:cs="Tahoma"/>
          <w:sz w:val="20"/>
          <w:szCs w:val="20"/>
        </w:rPr>
        <w:t xml:space="preserve"> και να προβλέπεται διαδικασία/μηχανισμός επιβεβαίωσης και παρακολούθησης της συμβατότητας με τα ακόλουθα</w:t>
      </w:r>
      <w:r w:rsidRPr="00637C10">
        <w:rPr>
          <w:rFonts w:ascii="Tahoma" w:hAnsi="Tahoma" w:cs="Tahoma"/>
          <w:sz w:val="20"/>
          <w:szCs w:val="20"/>
        </w:rPr>
        <w:t>:</w:t>
      </w:r>
    </w:p>
    <w:p w14:paraId="1249C202"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επιχειρήσεων τις οποίες αφορά ο κανόνας </w:t>
      </w:r>
      <w:proofErr w:type="spellStart"/>
      <w:r w:rsidRPr="00637C10">
        <w:rPr>
          <w:rFonts w:ascii="Tahoma" w:hAnsi="Tahoma" w:cs="Tahoma"/>
          <w:sz w:val="20"/>
          <w:szCs w:val="20"/>
          <w:u w:val="single"/>
        </w:rPr>
        <w:t>Deggendorf</w:t>
      </w:r>
      <w:proofErr w:type="spellEnd"/>
      <w:r w:rsidRPr="00637C10">
        <w:rPr>
          <w:rFonts w:ascii="Tahoma" w:hAnsi="Tahoma" w:cs="Tahoma"/>
          <w:sz w:val="20"/>
          <w:szCs w:val="20"/>
          <w:u w:val="single"/>
        </w:rPr>
        <w:t xml:space="preserve"> </w:t>
      </w:r>
    </w:p>
    <w:p w14:paraId="32A47F60"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και δεν εφαρμόζεται στις ad hoc ενισχύσεις υπέρ μιας τέτοιας επιχείρησης. </w:t>
      </w:r>
    </w:p>
    <w:p w14:paraId="6BB745A3" w14:textId="77777777" w:rsidR="00AF64AE" w:rsidRPr="00637C10" w:rsidRDefault="00AF64AE" w:rsidP="00637C10">
      <w:pPr>
        <w:numPr>
          <w:ilvl w:val="0"/>
          <w:numId w:val="2"/>
        </w:numPr>
        <w:spacing w:after="120" w:line="240" w:lineRule="auto"/>
        <w:jc w:val="both"/>
        <w:rPr>
          <w:rFonts w:ascii="Tahoma" w:hAnsi="Tahoma" w:cs="Tahoma"/>
          <w:sz w:val="20"/>
          <w:szCs w:val="20"/>
        </w:rPr>
      </w:pPr>
      <w:r w:rsidRPr="00637C10">
        <w:rPr>
          <w:rFonts w:ascii="Tahoma" w:hAnsi="Tahoma" w:cs="Tahoma"/>
          <w:sz w:val="20"/>
          <w:szCs w:val="20"/>
          <w:u w:val="single"/>
        </w:rPr>
        <w:t>Αποκλεισμός των προβληματικών επιχειρήσεων</w:t>
      </w:r>
      <w:r w:rsidRPr="00637C10">
        <w:rPr>
          <w:rFonts w:ascii="Tahoma" w:hAnsi="Tahoma" w:cs="Tahoma"/>
          <w:sz w:val="20"/>
          <w:szCs w:val="20"/>
        </w:rPr>
        <w:t xml:space="preserve"> </w:t>
      </w:r>
    </w:p>
    <w:p w14:paraId="70F76E28" w14:textId="77777777" w:rsidR="00D17738"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στις ενισχύσεις για προβληματικές επιχειρήσεις.</w:t>
      </w:r>
      <w:r w:rsidR="006C4880" w:rsidRPr="00637C10">
        <w:rPr>
          <w:rFonts w:ascii="Tahoma" w:hAnsi="Tahoma" w:cs="Tahoma"/>
          <w:sz w:val="20"/>
          <w:szCs w:val="20"/>
        </w:rPr>
        <w:t xml:space="preserve"> </w:t>
      </w:r>
    </w:p>
    <w:p w14:paraId="5F49DCC1"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μέτρων ενισχύσεων που παραβιάζουν το δίκαιο της Ένωσης </w:t>
      </w:r>
    </w:p>
    <w:p w14:paraId="2FA6CB6E"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CD70358"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4FA80C47"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την υποχρέωση του δικαιούχου να χρησιμοποιεί προϊόντα εγχώριας παραγωγής ή εθνικές υπηρεσίες·</w:t>
      </w:r>
    </w:p>
    <w:p w14:paraId="7CEBDA4E" w14:textId="77777777" w:rsidR="00AF64AE" w:rsidRPr="00637C10" w:rsidRDefault="00AF64AE" w:rsidP="00637C10">
      <w:pPr>
        <w:spacing w:after="120" w:line="240" w:lineRule="auto"/>
        <w:ind w:left="357"/>
        <w:jc w:val="both"/>
        <w:rPr>
          <w:rFonts w:ascii="Tahoma" w:hAnsi="Tahoma" w:cs="Tahoma"/>
          <w:sz w:val="20"/>
          <w:szCs w:val="20"/>
        </w:rPr>
      </w:pPr>
      <w:r w:rsidRPr="00637C10">
        <w:rPr>
          <w:rFonts w:ascii="Tahoma" w:hAnsi="Tahoma" w:cs="Tahoma"/>
          <w:sz w:val="20"/>
          <w:szCs w:val="20"/>
        </w:rPr>
        <w:t>γ) τον περιορισμό της δυνατότητας των δικαιούχων να κάνουν χρήση των αποτελεσμάτων της έρευνας, ανάπτυξης και καινοτομίας σε άλλα κράτη μέλη.</w:t>
      </w:r>
    </w:p>
    <w:p w14:paraId="7F22CC5B"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Όρια κοινοποίησης μεμονωμένων ενισχύσεων</w:t>
      </w:r>
    </w:p>
    <w:p w14:paraId="7506C028" w14:textId="77777777" w:rsidR="004D1C36" w:rsidRPr="004D1C36" w:rsidRDefault="00AF64AE" w:rsidP="00026215">
      <w:pPr>
        <w:pStyle w:val="a6"/>
        <w:numPr>
          <w:ilvl w:val="0"/>
          <w:numId w:val="19"/>
        </w:numPr>
        <w:spacing w:after="120" w:line="240" w:lineRule="auto"/>
        <w:ind w:left="714" w:hanging="357"/>
        <w:contextualSpacing w:val="0"/>
        <w:jc w:val="both"/>
        <w:rPr>
          <w:rFonts w:ascii="Tahoma" w:hAnsi="Tahoma" w:cs="Tahoma"/>
          <w:sz w:val="20"/>
          <w:szCs w:val="20"/>
        </w:rPr>
      </w:pPr>
      <w:r w:rsidRPr="004D1C36">
        <w:rPr>
          <w:rFonts w:ascii="Tahoma" w:hAnsi="Tahoma" w:cs="Tahoma"/>
          <w:sz w:val="20"/>
          <w:szCs w:val="20"/>
        </w:rPr>
        <w:t>Ο ΓΑΚ δεν εφαρμόζεται</w:t>
      </w:r>
      <w:r w:rsidR="004D1C36" w:rsidRPr="004D1C36">
        <w:rPr>
          <w:rFonts w:ascii="Tahoma" w:hAnsi="Tahoma" w:cs="Tahoma"/>
          <w:sz w:val="20"/>
          <w:szCs w:val="20"/>
        </w:rPr>
        <w:t xml:space="preserve"> στις ενισχύσεις που υπερβαίνουν τα ακόλουθα όρια</w:t>
      </w:r>
      <w:r w:rsidR="005D3242">
        <w:rPr>
          <w:rFonts w:ascii="Tahoma" w:hAnsi="Tahoma" w:cs="Tahoma"/>
          <w:sz w:val="20"/>
          <w:szCs w:val="20"/>
        </w:rPr>
        <w:t>:</w:t>
      </w:r>
    </w:p>
    <w:p w14:paraId="1F06BD89" w14:textId="77777777" w:rsidR="009C5AB6" w:rsidRPr="00026215" w:rsidRDefault="00B7227D" w:rsidP="00026215">
      <w:pPr>
        <w:pStyle w:val="a6"/>
        <w:numPr>
          <w:ilvl w:val="0"/>
          <w:numId w:val="30"/>
        </w:numPr>
        <w:spacing w:before="120" w:after="120" w:line="240" w:lineRule="auto"/>
        <w:ind w:left="1077" w:hanging="357"/>
        <w:jc w:val="both"/>
        <w:rPr>
          <w:rFonts w:ascii="Tahoma" w:hAnsi="Tahoma" w:cs="Tahoma"/>
          <w:sz w:val="20"/>
          <w:szCs w:val="20"/>
        </w:rPr>
      </w:pPr>
      <w:r w:rsidRPr="00026215">
        <w:rPr>
          <w:rFonts w:ascii="Tahoma" w:hAnsi="Tahoma" w:cs="Tahoma"/>
          <w:sz w:val="20"/>
          <w:szCs w:val="20"/>
        </w:rPr>
        <w:t xml:space="preserve">για τις επενδυτικές ενισχύσεις για την αποκατάσταση μολυσμένων χώρων: </w:t>
      </w:r>
      <w:r w:rsidR="00026215" w:rsidRPr="00026215">
        <w:rPr>
          <w:rFonts w:ascii="Tahoma" w:hAnsi="Tahoma" w:cs="Tahoma"/>
          <w:sz w:val="20"/>
          <w:szCs w:val="20"/>
        </w:rPr>
        <w:t>20</w:t>
      </w:r>
      <w:r w:rsidRPr="00026215">
        <w:rPr>
          <w:rFonts w:ascii="Tahoma" w:hAnsi="Tahoma" w:cs="Tahoma"/>
          <w:sz w:val="20"/>
          <w:szCs w:val="20"/>
        </w:rPr>
        <w:t xml:space="preserve"> εκατ. ευρώ ανά επιχείρηση και ανά επενδυτικό </w:t>
      </w:r>
      <w:r w:rsidR="00D21A90" w:rsidRPr="00026215">
        <w:rPr>
          <w:rFonts w:ascii="Tahoma" w:hAnsi="Tahoma" w:cs="Tahoma"/>
          <w:sz w:val="20"/>
          <w:szCs w:val="20"/>
        </w:rPr>
        <w:t>έργο.</w:t>
      </w:r>
    </w:p>
    <w:p w14:paraId="60A2061C" w14:textId="77777777" w:rsidR="00AF64AE" w:rsidRDefault="009258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2. </w:t>
      </w:r>
      <w:r w:rsidR="00AF64AE" w:rsidRPr="00637C10">
        <w:rPr>
          <w:rFonts w:ascii="Tahoma" w:hAnsi="Tahoma" w:cs="Tahoma"/>
          <w:sz w:val="20"/>
          <w:szCs w:val="20"/>
        </w:rPr>
        <w:t>Τα όρια δεν επιτρέπεται να καταστρατηγούνται με τον τεχνητό διαχωρισμό των καθεστώτων ενισχύσεων ή των έργων ενίσχυσης.</w:t>
      </w:r>
    </w:p>
    <w:p w14:paraId="42D15C1A" w14:textId="77777777" w:rsidR="00AF64AE" w:rsidRPr="0016216D"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Χαρακτήρας κινήτρου</w:t>
      </w:r>
      <w:r w:rsidR="00D02341">
        <w:rPr>
          <w:rFonts w:ascii="Tahoma" w:hAnsi="Tahoma" w:cs="Tahoma"/>
          <w:sz w:val="20"/>
          <w:szCs w:val="20"/>
          <w:u w:val="single"/>
          <w:lang w:val="en-US"/>
        </w:rPr>
        <w:t xml:space="preserve"> </w:t>
      </w:r>
    </w:p>
    <w:p w14:paraId="74C73BEA"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Οι ενισχύσεις μπορούν να τύχουν απαλλαγής μόνον εάν έχουν χαρακτήρα κινήτρου</w:t>
      </w:r>
      <w:r w:rsidR="006326AC" w:rsidRPr="00637C10">
        <w:rPr>
          <w:rFonts w:ascii="Tahoma" w:hAnsi="Tahoma" w:cs="Tahoma"/>
          <w:sz w:val="20"/>
          <w:szCs w:val="20"/>
        </w:rPr>
        <w:t>, ως ακολούθως</w:t>
      </w:r>
      <w:r w:rsidRPr="00637C10">
        <w:rPr>
          <w:rFonts w:ascii="Tahoma" w:hAnsi="Tahoma" w:cs="Tahoma"/>
          <w:sz w:val="20"/>
          <w:szCs w:val="20"/>
        </w:rPr>
        <w:t>:</w:t>
      </w:r>
    </w:p>
    <w:p w14:paraId="1A52847C" w14:textId="77777777"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α) </w:t>
      </w:r>
      <w:bookmarkStart w:id="0" w:name="_Hlk80867769"/>
      <w:r w:rsidR="00AF64AE" w:rsidRPr="00637C10">
        <w:rPr>
          <w:rFonts w:ascii="Tahoma" w:hAnsi="Tahoma" w:cs="Tahoma"/>
          <w:sz w:val="20"/>
          <w:szCs w:val="20"/>
        </w:rPr>
        <w:t xml:space="preserve">Ο δικαιούχος έχει υποβάλει αίτηση ενίσχυσης στο κράτος μέλος, </w:t>
      </w:r>
      <w:r w:rsidR="00AF64AE" w:rsidRPr="00FB67A8">
        <w:rPr>
          <w:rFonts w:ascii="Tahoma" w:hAnsi="Tahoma" w:cs="Tahoma"/>
          <w:sz w:val="20"/>
          <w:szCs w:val="20"/>
        </w:rPr>
        <w:t xml:space="preserve">πριν από την έναρξη του έργου ή των </w:t>
      </w:r>
      <w:r w:rsidR="00AF64AE" w:rsidRPr="0016216D">
        <w:rPr>
          <w:rFonts w:ascii="Tahoma" w:hAnsi="Tahoma" w:cs="Tahoma"/>
          <w:sz w:val="20"/>
          <w:szCs w:val="20"/>
        </w:rPr>
        <w:t>εργασιών</w:t>
      </w:r>
      <w:r w:rsidR="0022693B">
        <w:rPr>
          <w:rFonts w:ascii="Tahoma" w:hAnsi="Tahoma" w:cs="Tahoma"/>
          <w:sz w:val="20"/>
          <w:szCs w:val="20"/>
        </w:rPr>
        <w:t xml:space="preserve">, </w:t>
      </w:r>
      <w:bookmarkEnd w:id="0"/>
      <w:r w:rsidR="00AF64AE" w:rsidRPr="0016216D">
        <w:rPr>
          <w:rFonts w:ascii="Tahoma" w:hAnsi="Tahoma" w:cs="Tahoma"/>
          <w:sz w:val="20"/>
          <w:szCs w:val="20"/>
        </w:rPr>
        <w:t>που περιλαμβάνει τουλάχιστον τα ακόλουθα στοιχεία:</w:t>
      </w:r>
    </w:p>
    <w:p w14:paraId="6AB141EA"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την ονομασία και το μέγεθος της επιχείρησης·</w:t>
      </w:r>
    </w:p>
    <w:p w14:paraId="2D3AA90B"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περιγραφή του έργου, συμπεριλαμβανομένων των ημερομηνιών έναρξης και λήξης·</w:t>
      </w:r>
    </w:p>
    <w:p w14:paraId="3E73C837"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τον τόπο εκτέλεσης του έργου·</w:t>
      </w:r>
    </w:p>
    <w:p w14:paraId="7AD4A8D0"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κατάλογο των δαπανών του έργου·</w:t>
      </w:r>
    </w:p>
    <w:p w14:paraId="4B5D34AA"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lastRenderedPageBreak/>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14:paraId="51BA3666" w14:textId="77777777" w:rsidR="00AF64AE" w:rsidRPr="005B1BAA" w:rsidRDefault="006326AC" w:rsidP="00637C10">
      <w:pPr>
        <w:spacing w:after="120" w:line="240" w:lineRule="auto"/>
        <w:ind w:left="360"/>
        <w:jc w:val="both"/>
        <w:rPr>
          <w:rFonts w:ascii="Tahoma" w:hAnsi="Tahoma" w:cs="Tahoma"/>
          <w:sz w:val="20"/>
          <w:szCs w:val="20"/>
        </w:rPr>
      </w:pPr>
      <w:r w:rsidRPr="005B1BAA">
        <w:rPr>
          <w:rFonts w:ascii="Tahoma" w:hAnsi="Tahoma" w:cs="Tahoma"/>
          <w:sz w:val="20"/>
          <w:szCs w:val="20"/>
        </w:rPr>
        <w:t xml:space="preserve">β) </w:t>
      </w:r>
      <w:r w:rsidR="0022693B" w:rsidRPr="005B1BAA">
        <w:rPr>
          <w:rFonts w:ascii="Tahoma" w:hAnsi="Tahoma" w:cs="Tahoma"/>
          <w:sz w:val="20"/>
          <w:szCs w:val="20"/>
        </w:rPr>
        <w:t xml:space="preserve">Για </w:t>
      </w:r>
      <w:r w:rsidR="00AF64AE" w:rsidRPr="005B1BAA">
        <w:rPr>
          <w:rFonts w:ascii="Tahoma" w:hAnsi="Tahoma" w:cs="Tahoma"/>
          <w:sz w:val="20"/>
          <w:szCs w:val="20"/>
        </w:rPr>
        <w:t>Ad hoc ενισ</w:t>
      </w:r>
      <w:r w:rsidRPr="005B1BAA">
        <w:rPr>
          <w:rFonts w:ascii="Tahoma" w:hAnsi="Tahoma" w:cs="Tahoma"/>
          <w:sz w:val="20"/>
          <w:szCs w:val="20"/>
        </w:rPr>
        <w:t xml:space="preserve">χύσεις σε μεγάλες επιχειρήσεις, </w:t>
      </w:r>
      <w:r w:rsidR="00AF64AE" w:rsidRPr="005B1BAA">
        <w:rPr>
          <w:rFonts w:ascii="Tahoma" w:hAnsi="Tahoma" w:cs="Tahoma"/>
          <w:sz w:val="20"/>
          <w:szCs w:val="20"/>
        </w:rPr>
        <w:t>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14:paraId="6FC5BC52" w14:textId="77777777" w:rsidR="00AF64AE" w:rsidRPr="005B1BAA" w:rsidRDefault="0022693B" w:rsidP="00637C10">
      <w:pPr>
        <w:pStyle w:val="a6"/>
        <w:numPr>
          <w:ilvl w:val="0"/>
          <w:numId w:val="1"/>
        </w:numPr>
        <w:spacing w:after="120" w:line="240" w:lineRule="auto"/>
        <w:contextualSpacing w:val="0"/>
        <w:jc w:val="both"/>
        <w:rPr>
          <w:rFonts w:ascii="Tahoma" w:hAnsi="Tahoma" w:cs="Tahoma"/>
          <w:sz w:val="20"/>
          <w:szCs w:val="20"/>
        </w:rPr>
      </w:pPr>
      <w:bookmarkStart w:id="1" w:name="_Hlk80867717"/>
      <w:r w:rsidRPr="005B1BAA">
        <w:rPr>
          <w:rFonts w:ascii="Tahoma" w:hAnsi="Tahoma" w:cs="Tahoma"/>
          <w:sz w:val="20"/>
          <w:szCs w:val="20"/>
        </w:rPr>
        <w:t>ουσιώδη</w:t>
      </w:r>
      <w:r w:rsidR="00AF64AE" w:rsidRPr="005B1BAA">
        <w:rPr>
          <w:rFonts w:ascii="Tahoma" w:hAnsi="Tahoma" w:cs="Tahoma"/>
          <w:sz w:val="20"/>
          <w:szCs w:val="20"/>
        </w:rPr>
        <w:t xml:space="preserve"> αύξηση του αντικειμένου του έργου/της δραστηριότητ</w:t>
      </w:r>
      <w:r w:rsidR="00BA51A5" w:rsidRPr="005B1BAA">
        <w:rPr>
          <w:rFonts w:ascii="Tahoma" w:hAnsi="Tahoma" w:cs="Tahoma"/>
          <w:sz w:val="20"/>
          <w:szCs w:val="20"/>
        </w:rPr>
        <w:t xml:space="preserve">ας ως αποτέλεσμα της </w:t>
      </w:r>
      <w:proofErr w:type="spellStart"/>
      <w:r w:rsidR="00BA51A5" w:rsidRPr="005B1BAA">
        <w:rPr>
          <w:rFonts w:ascii="Tahoma" w:hAnsi="Tahoma" w:cs="Tahoma"/>
          <w:sz w:val="20"/>
          <w:szCs w:val="20"/>
        </w:rPr>
        <w:t>ενίσχυσης</w:t>
      </w:r>
      <w:r w:rsidR="0033455F" w:rsidRPr="005B1BAA">
        <w:rPr>
          <w:rFonts w:ascii="Tahoma" w:hAnsi="Tahoma" w:cs="Tahoma"/>
          <w:sz w:val="20"/>
          <w:szCs w:val="20"/>
        </w:rPr>
        <w:t>,</w:t>
      </w:r>
      <w:r w:rsidR="00BA51A5" w:rsidRPr="005B1BAA">
        <w:rPr>
          <w:rFonts w:ascii="Tahoma" w:hAnsi="Tahoma" w:cs="Tahoma"/>
          <w:sz w:val="20"/>
          <w:szCs w:val="20"/>
        </w:rPr>
        <w:t>·</w:t>
      </w:r>
      <w:r w:rsidR="00AF64AE" w:rsidRPr="005B1BAA">
        <w:rPr>
          <w:rFonts w:ascii="Tahoma" w:hAnsi="Tahoma" w:cs="Tahoma"/>
          <w:sz w:val="20"/>
          <w:szCs w:val="20"/>
        </w:rPr>
        <w:t>ή</w:t>
      </w:r>
      <w:proofErr w:type="spellEnd"/>
    </w:p>
    <w:p w14:paraId="0FD68AC1" w14:textId="77777777" w:rsidR="00AF64AE" w:rsidRPr="005B1BAA" w:rsidRDefault="0022693B" w:rsidP="00637C10">
      <w:pPr>
        <w:pStyle w:val="a6"/>
        <w:numPr>
          <w:ilvl w:val="0"/>
          <w:numId w:val="1"/>
        </w:numPr>
        <w:spacing w:after="120" w:line="240" w:lineRule="auto"/>
        <w:contextualSpacing w:val="0"/>
        <w:jc w:val="both"/>
        <w:rPr>
          <w:rFonts w:ascii="Tahoma" w:hAnsi="Tahoma" w:cs="Tahoma"/>
          <w:sz w:val="20"/>
          <w:szCs w:val="20"/>
        </w:rPr>
      </w:pPr>
      <w:r w:rsidRPr="005B1BAA">
        <w:rPr>
          <w:rFonts w:ascii="Tahoma" w:hAnsi="Tahoma" w:cs="Tahoma"/>
          <w:sz w:val="20"/>
          <w:szCs w:val="20"/>
        </w:rPr>
        <w:t>ουσιώδη</w:t>
      </w:r>
      <w:r w:rsidR="00AF64AE" w:rsidRPr="005B1BAA">
        <w:rPr>
          <w:rFonts w:ascii="Tahoma" w:hAnsi="Tahoma" w:cs="Tahoma"/>
          <w:sz w:val="20"/>
          <w:szCs w:val="20"/>
        </w:rPr>
        <w:t xml:space="preserve"> αύξηση του συνολικού ποσού που δαπανά ο δικαιούχος για το έργο/τη δραστηριότητα ως αποτέλεσμα της ενίσχυσης</w:t>
      </w:r>
      <w:r w:rsidR="0033455F" w:rsidRPr="005B1BAA">
        <w:rPr>
          <w:rFonts w:ascii="Tahoma" w:hAnsi="Tahoma" w:cs="Tahoma"/>
          <w:sz w:val="20"/>
          <w:szCs w:val="20"/>
        </w:rPr>
        <w:t>,</w:t>
      </w:r>
      <w:r w:rsidR="00AF64AE" w:rsidRPr="005B1BAA">
        <w:rPr>
          <w:rFonts w:ascii="Tahoma" w:hAnsi="Tahoma" w:cs="Tahoma"/>
          <w:sz w:val="20"/>
          <w:szCs w:val="20"/>
        </w:rPr>
        <w:t xml:space="preserve"> ή</w:t>
      </w:r>
    </w:p>
    <w:p w14:paraId="3495D66C" w14:textId="77777777" w:rsidR="00AF64AE" w:rsidRPr="005B1BAA" w:rsidRDefault="0022693B" w:rsidP="00637C10">
      <w:pPr>
        <w:pStyle w:val="a6"/>
        <w:numPr>
          <w:ilvl w:val="0"/>
          <w:numId w:val="1"/>
        </w:numPr>
        <w:spacing w:after="120" w:line="240" w:lineRule="auto"/>
        <w:contextualSpacing w:val="0"/>
        <w:jc w:val="both"/>
        <w:rPr>
          <w:rFonts w:ascii="Tahoma" w:hAnsi="Tahoma" w:cs="Tahoma"/>
          <w:sz w:val="20"/>
          <w:szCs w:val="20"/>
        </w:rPr>
      </w:pPr>
      <w:r w:rsidRPr="005B1BAA">
        <w:rPr>
          <w:rFonts w:ascii="Tahoma" w:hAnsi="Tahoma" w:cs="Tahoma"/>
          <w:sz w:val="20"/>
          <w:szCs w:val="20"/>
        </w:rPr>
        <w:t>ουσιώδη</w:t>
      </w:r>
      <w:r w:rsidR="00AF64AE" w:rsidRPr="005B1BAA">
        <w:rPr>
          <w:rFonts w:ascii="Tahoma" w:hAnsi="Tahoma" w:cs="Tahoma"/>
          <w:sz w:val="20"/>
          <w:szCs w:val="20"/>
        </w:rPr>
        <w:t xml:space="preserve"> αύξηση της ταχύτητας ολοκλήρωσης του συγκεκριμένου έργου/δραστηριότητα</w:t>
      </w:r>
      <w:bookmarkEnd w:id="1"/>
      <w:r w:rsidR="00AF64AE" w:rsidRPr="005B1BAA">
        <w:rPr>
          <w:rFonts w:ascii="Tahoma" w:hAnsi="Tahoma" w:cs="Tahoma"/>
          <w:sz w:val="20"/>
          <w:szCs w:val="20"/>
        </w:rPr>
        <w:t>ς.</w:t>
      </w:r>
    </w:p>
    <w:p w14:paraId="734FAB92" w14:textId="77777777" w:rsidR="0022693B" w:rsidRPr="005B1BAA" w:rsidRDefault="0022693B" w:rsidP="0022693B">
      <w:pPr>
        <w:spacing w:after="120" w:line="240" w:lineRule="auto"/>
        <w:ind w:left="360"/>
        <w:jc w:val="both"/>
        <w:rPr>
          <w:rFonts w:ascii="Tahoma" w:hAnsi="Tahoma" w:cs="Tahoma"/>
          <w:sz w:val="20"/>
          <w:szCs w:val="20"/>
        </w:rPr>
      </w:pPr>
      <w:r w:rsidRPr="005B1BAA">
        <w:rPr>
          <w:rFonts w:ascii="Tahoma" w:hAnsi="Tahoma" w:cs="Tahoma"/>
          <w:sz w:val="20"/>
          <w:szCs w:val="20"/>
        </w:rPr>
        <w:t xml:space="preserve">Κατ’ εξαίρεση των ανωτέρω, σύμφωνα με το άρθρο 6, παράγραφο 5 του ΓΑΚ, ορισμένες κατηγορίες ενισχύσεων δεν απαιτείται να έχουν ή θεωρείται ότι έχουν χαρακτήρα κινήτρου. Ειδικότερα, σύμφωνα με το στοιχείο η) της παρ.5 του άρθρου 6, οι ενισχύσεις για τον πολιτισμό και τη διατήρηση της κληρονομιάς, εφόσον πληρούνται οι προϋποθέσεις που προβλέπονται </w:t>
      </w:r>
      <w:r w:rsidR="00DC72CB" w:rsidRPr="005B1BAA">
        <w:rPr>
          <w:rFonts w:ascii="Tahoma" w:hAnsi="Tahoma" w:cs="Tahoma"/>
          <w:sz w:val="20"/>
          <w:szCs w:val="20"/>
        </w:rPr>
        <w:t>στο άρθρο 53 του εν λόγω Κανονισμού, θεωρείται ότι έχουν χαρακτήρα κινήτρου.</w:t>
      </w:r>
    </w:p>
    <w:p w14:paraId="52760509" w14:textId="77777777" w:rsidR="00AF64AE" w:rsidRPr="005B1BAA" w:rsidRDefault="00AF64AE" w:rsidP="00637C10">
      <w:pPr>
        <w:numPr>
          <w:ilvl w:val="0"/>
          <w:numId w:val="2"/>
        </w:numPr>
        <w:spacing w:after="120" w:line="240" w:lineRule="auto"/>
        <w:jc w:val="both"/>
        <w:rPr>
          <w:rFonts w:ascii="Tahoma" w:hAnsi="Tahoma" w:cs="Tahoma"/>
          <w:sz w:val="20"/>
          <w:szCs w:val="20"/>
          <w:u w:val="single"/>
        </w:rPr>
      </w:pPr>
      <w:r w:rsidRPr="005B1BAA">
        <w:rPr>
          <w:rFonts w:ascii="Tahoma" w:hAnsi="Tahoma" w:cs="Tahoma"/>
          <w:sz w:val="20"/>
          <w:szCs w:val="20"/>
          <w:u w:val="single"/>
        </w:rPr>
        <w:t>Επιλέξιμες δαπάνες</w:t>
      </w:r>
    </w:p>
    <w:p w14:paraId="14AC13FF" w14:textId="77777777" w:rsidR="00297463"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τον υπολογισμό της έντασης της ενίσχυσης λαμβάνονται υπόψη αριθμητικά στοιχεία πριν από την αφαίρεση φόρων ή άλλων επιβαρύνσεων.</w:t>
      </w:r>
      <w:r w:rsidR="00297463" w:rsidRPr="00637C10">
        <w:rPr>
          <w:rFonts w:ascii="Tahoma" w:hAnsi="Tahoma" w:cs="Tahoma"/>
          <w:sz w:val="20"/>
          <w:szCs w:val="20"/>
        </w:rPr>
        <w:t xml:space="preserve"> </w:t>
      </w:r>
    </w:p>
    <w:p w14:paraId="2887DC6E" w14:textId="77777777" w:rsidR="00AF64AE"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 xml:space="preserve">Οι επιλέξιμες δαπάνες τεκμηριώνονται με σαφή, συγκεκριμένα και </w:t>
      </w:r>
      <w:proofErr w:type="spellStart"/>
      <w:r w:rsidRPr="00637C10">
        <w:rPr>
          <w:rFonts w:ascii="Tahoma" w:hAnsi="Tahoma" w:cs="Tahoma"/>
          <w:sz w:val="20"/>
          <w:szCs w:val="20"/>
        </w:rPr>
        <w:t>επικαιροποιημένα</w:t>
      </w:r>
      <w:proofErr w:type="spellEnd"/>
      <w:r w:rsidRPr="00637C10">
        <w:rPr>
          <w:rFonts w:ascii="Tahoma" w:hAnsi="Tahoma" w:cs="Tahoma"/>
          <w:sz w:val="20"/>
          <w:szCs w:val="20"/>
        </w:rPr>
        <w:t xml:space="preserve"> έγγραφα.</w:t>
      </w:r>
    </w:p>
    <w:p w14:paraId="7F2023AD" w14:textId="77777777" w:rsidR="005B320A" w:rsidRPr="00637C10" w:rsidRDefault="005B320A" w:rsidP="00637C10">
      <w:pPr>
        <w:pStyle w:val="a6"/>
        <w:numPr>
          <w:ilvl w:val="0"/>
          <w:numId w:val="1"/>
        </w:numPr>
        <w:spacing w:after="120" w:line="240" w:lineRule="auto"/>
        <w:contextualSpacing w:val="0"/>
        <w:jc w:val="both"/>
        <w:rPr>
          <w:rFonts w:ascii="Tahoma" w:hAnsi="Tahoma" w:cs="Tahoma"/>
          <w:sz w:val="20"/>
          <w:szCs w:val="20"/>
        </w:rPr>
      </w:pPr>
      <w:r>
        <w:rPr>
          <w:rFonts w:ascii="Tahoma" w:hAnsi="Tahoma" w:cs="Tahoma"/>
          <w:sz w:val="20"/>
          <w:szCs w:val="20"/>
        </w:rPr>
        <w:t>Το ποσό των επιλέξιμων δαπανών μπορεί να υπολογίζεται σύμφωνα με τις απλουστευμένες επιλογές κόστους που καθορίζονται στον κανονισμό (ΕΕ) αριθ. 1303/2013 του Ευρωπαϊκού Κοινοβουλίου και του Συμβουλίου,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p w14:paraId="0F059B23"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Σώρευση</w:t>
      </w:r>
    </w:p>
    <w:p w14:paraId="651D47C8" w14:textId="77777777" w:rsidR="00C77FBA"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Η </w:t>
      </w:r>
      <w:r w:rsidR="00145D10">
        <w:rPr>
          <w:rFonts w:ascii="Tahoma" w:hAnsi="Tahoma" w:cs="Tahoma"/>
          <w:sz w:val="20"/>
          <w:szCs w:val="20"/>
        </w:rPr>
        <w:t>Δ.Α.</w:t>
      </w:r>
      <w:r w:rsidRPr="00637C10">
        <w:rPr>
          <w:rFonts w:ascii="Tahoma" w:hAnsi="Tahoma" w:cs="Tahoma"/>
          <w:sz w:val="20"/>
          <w:szCs w:val="20"/>
        </w:rPr>
        <w:t xml:space="preserve">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14:paraId="2F57BB18"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Για τον σκοπό αυτό:</w:t>
      </w:r>
    </w:p>
    <w:p w14:paraId="53B14FB9" w14:textId="77777777"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τα όρια και τις μέγιστες εντάσεις ενίσχυσης λαμβάνεται υπόψη το συνολικό ποσό της ενίσχυσης·</w:t>
      </w:r>
    </w:p>
    <w:p w14:paraId="544C5B66"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w:t>
      </w:r>
      <w:r w:rsidR="00AF64AE" w:rsidRPr="00637C10">
        <w:rPr>
          <w:rFonts w:ascii="Tahoma" w:hAnsi="Tahoma" w:cs="Tahoma"/>
          <w:sz w:val="20"/>
          <w:szCs w:val="20"/>
        </w:rPr>
        <w:t xml:space="preserve">άν </w:t>
      </w:r>
      <w:proofErr w:type="spellStart"/>
      <w:r w:rsidR="00AF64AE" w:rsidRPr="00637C10">
        <w:rPr>
          <w:rFonts w:ascii="Tahoma" w:hAnsi="Tahoma" w:cs="Tahoma"/>
          <w:sz w:val="20"/>
          <w:szCs w:val="20"/>
        </w:rPr>
        <w:t>ενωσιακή</w:t>
      </w:r>
      <w:proofErr w:type="spellEnd"/>
      <w:r w:rsidR="00AF64AE" w:rsidRPr="00637C10">
        <w:rPr>
          <w:rFonts w:ascii="Tahoma" w:hAnsi="Tahoma" w:cs="Tahoma"/>
          <w:sz w:val="20"/>
          <w:szCs w:val="20"/>
        </w:rPr>
        <w:t xml:space="preserve">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sidR="00AF64AE" w:rsidRPr="00637C10">
        <w:rPr>
          <w:rFonts w:ascii="Tahoma" w:hAnsi="Tahoma" w:cs="Tahoma"/>
          <w:sz w:val="20"/>
          <w:szCs w:val="20"/>
        </w:rPr>
        <w:t>ενωσιακής</w:t>
      </w:r>
      <w:proofErr w:type="spellEnd"/>
      <w:r w:rsidR="00AF64AE" w:rsidRPr="00637C10">
        <w:rPr>
          <w:rFonts w:ascii="Tahoma" w:hAnsi="Tahoma" w:cs="Tahoma"/>
          <w:sz w:val="20"/>
          <w:szCs w:val="20"/>
        </w:rPr>
        <w:t xml:space="preserve"> νομοθεσίας·</w:t>
      </w:r>
    </w:p>
    <w:p w14:paraId="105B472D"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 xml:space="preserve">ι απαλλασσόμενες ενισχύσεις μπορούν να σωρευθούν με οποιεσδήποτε άλλες κρατικές ενισχύσεις, εάν πρόκειται για διαφορετικές </w:t>
      </w:r>
      <w:proofErr w:type="spellStart"/>
      <w:r w:rsidR="00AF64AE" w:rsidRPr="00637C10">
        <w:rPr>
          <w:rFonts w:ascii="Tahoma" w:hAnsi="Tahoma" w:cs="Tahoma"/>
          <w:sz w:val="20"/>
          <w:szCs w:val="20"/>
        </w:rPr>
        <w:t>προσδιορίσιμες</w:t>
      </w:r>
      <w:proofErr w:type="spellEnd"/>
      <w:r w:rsidR="00AF64AE" w:rsidRPr="00637C10">
        <w:rPr>
          <w:rFonts w:ascii="Tahoma" w:hAnsi="Tahoma" w:cs="Tahoma"/>
          <w:sz w:val="20"/>
          <w:szCs w:val="20"/>
        </w:rPr>
        <w:t xml:space="preserve"> δαπάνες·</w:t>
      </w:r>
    </w:p>
    <w:p w14:paraId="18C64B23"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bookmarkStart w:id="2" w:name="_Hlk80866687"/>
      <w:r w:rsidRPr="00637C10">
        <w:rPr>
          <w:rFonts w:ascii="Tahoma" w:hAnsi="Tahoma" w:cs="Tahoma"/>
          <w:sz w:val="20"/>
          <w:szCs w:val="20"/>
        </w:rPr>
        <w:t>Δ</w:t>
      </w:r>
      <w:r w:rsidR="00AF64AE" w:rsidRPr="00637C10">
        <w:rPr>
          <w:rFonts w:ascii="Tahoma" w:hAnsi="Tahoma" w:cs="Tahoma"/>
          <w:sz w:val="20"/>
          <w:szCs w:val="20"/>
        </w:rPr>
        <w:t>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0A3D43A0" w14:textId="77777777"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bookmarkEnd w:id="2"/>
      <w:r w:rsidR="00AF64AE" w:rsidRPr="00637C10">
        <w:rPr>
          <w:rFonts w:ascii="Tahoma" w:hAnsi="Tahoma" w:cs="Tahoma"/>
          <w:sz w:val="20"/>
          <w:szCs w:val="20"/>
        </w:rPr>
        <w:t>.</w:t>
      </w:r>
    </w:p>
    <w:p w14:paraId="6B5816A8" w14:textId="77777777" w:rsidR="00AF64AE" w:rsidRPr="00637C10" w:rsidRDefault="00AF64AE" w:rsidP="00B01889">
      <w:pPr>
        <w:spacing w:after="120" w:line="240" w:lineRule="auto"/>
        <w:ind w:left="360"/>
        <w:jc w:val="both"/>
        <w:rPr>
          <w:rFonts w:ascii="Tahoma" w:hAnsi="Tahoma" w:cs="Tahoma"/>
          <w:sz w:val="20"/>
          <w:szCs w:val="20"/>
        </w:rPr>
      </w:pPr>
      <w:r w:rsidRPr="00637C10">
        <w:rPr>
          <w:rFonts w:ascii="Tahoma" w:hAnsi="Tahoma" w:cs="Tahoma"/>
          <w:sz w:val="20"/>
          <w:szCs w:val="20"/>
        </w:rPr>
        <w:t>Οι ανωτέρω υποχρεώσεις θα επιβεβαιώνονται κατά την αξιολόγηση των προτάσεων και την καταβολή των ενισχύσεων.</w:t>
      </w:r>
    </w:p>
    <w:p w14:paraId="2D6A1A73" w14:textId="77777777"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Δημοσίευση και πληροφορίες - Υποβολή εκθέσεων</w:t>
      </w:r>
    </w:p>
    <w:p w14:paraId="5A858B83" w14:textId="77777777" w:rsidR="00AF64AE" w:rsidRPr="00637C10" w:rsidRDefault="00AF64AE" w:rsidP="00F001F1">
      <w:pPr>
        <w:spacing w:after="120" w:line="240" w:lineRule="auto"/>
        <w:ind w:left="425"/>
        <w:jc w:val="both"/>
        <w:rPr>
          <w:rFonts w:ascii="Tahoma" w:hAnsi="Tahoma" w:cs="Tahoma"/>
          <w:sz w:val="20"/>
          <w:szCs w:val="20"/>
        </w:rPr>
      </w:pPr>
      <w:r w:rsidRPr="00637C10">
        <w:rPr>
          <w:rFonts w:ascii="Tahoma" w:hAnsi="Tahoma" w:cs="Tahoma"/>
          <w:sz w:val="20"/>
          <w:szCs w:val="20"/>
        </w:rPr>
        <w:lastRenderedPageBreak/>
        <w:t xml:space="preserve">Η </w:t>
      </w:r>
      <w:r w:rsidR="00EC0C03" w:rsidRPr="00637C10">
        <w:rPr>
          <w:rFonts w:ascii="Tahoma" w:hAnsi="Tahoma" w:cs="Tahoma"/>
          <w:sz w:val="20"/>
          <w:szCs w:val="20"/>
        </w:rPr>
        <w:t>Δ.Α.</w:t>
      </w:r>
      <w:r w:rsidRPr="00637C10">
        <w:rPr>
          <w:rFonts w:ascii="Tahoma" w:hAnsi="Tahoma" w:cs="Tahoma"/>
          <w:sz w:val="20"/>
          <w:szCs w:val="20"/>
        </w:rPr>
        <w:t xml:space="preserve"> έχει υποχρέωση</w:t>
      </w:r>
      <w:r w:rsidR="00791D55" w:rsidRPr="00637C10">
        <w:rPr>
          <w:rFonts w:ascii="Tahoma" w:hAnsi="Tahoma" w:cs="Tahoma"/>
          <w:sz w:val="20"/>
          <w:szCs w:val="20"/>
        </w:rPr>
        <w:t xml:space="preserve"> δημοσίευσης στο </w:t>
      </w:r>
      <w:r w:rsidRPr="00637C10">
        <w:rPr>
          <w:rFonts w:ascii="Tahoma" w:hAnsi="Tahoma" w:cs="Tahoma"/>
          <w:sz w:val="20"/>
          <w:szCs w:val="20"/>
        </w:rPr>
        <w:t>δικτυακό τόπο για τις κρατικές ενισχύσεις, σε εθνικό ή περιφερειακό επίπεδο, τα εξής:</w:t>
      </w:r>
    </w:p>
    <w:p w14:paraId="50460358"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συνοπτικές πληροφορίες ή σύνδεσμο που παρέχει πρόσβαση σε αυτές·</w:t>
      </w:r>
    </w:p>
    <w:p w14:paraId="28FB303F"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το πλήρες κείμενο κάθε μέτρου ενίσχυσης ή σύνδεσμο που παρέχει πρόσβαση στο πλήρες κείμενο·</w:t>
      </w:r>
    </w:p>
    <w:p w14:paraId="47769C3B" w14:textId="77777777"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 πληροφορίες για κάθε χορήγηση μεμονωμένης ενίσχυσης που υπερβαίνει τα 500 000 ευρώ.</w:t>
      </w:r>
    </w:p>
    <w:p w14:paraId="2C5457E1" w14:textId="77777777" w:rsidR="003549ED" w:rsidRDefault="00AF64AE" w:rsidP="00B01889">
      <w:pPr>
        <w:spacing w:after="120" w:line="240" w:lineRule="auto"/>
        <w:ind w:left="360"/>
        <w:jc w:val="both"/>
        <w:rPr>
          <w:rFonts w:ascii="Tahoma" w:hAnsi="Tahoma" w:cs="Tahoma"/>
          <w:sz w:val="20"/>
          <w:szCs w:val="20"/>
        </w:rPr>
      </w:pPr>
      <w:r w:rsidRPr="00637C10">
        <w:rPr>
          <w:rFonts w:ascii="Tahoma" w:hAnsi="Tahoma" w:cs="Tahoma"/>
          <w:sz w:val="20"/>
          <w:szCs w:val="20"/>
        </w:rPr>
        <w:t>Ο δικαιούχος έχει υποχρέωση να αποδεχθεί τη δημοσίευ</w:t>
      </w:r>
      <w:r w:rsidR="00C06212" w:rsidRPr="00637C10">
        <w:rPr>
          <w:rFonts w:ascii="Tahoma" w:hAnsi="Tahoma" w:cs="Tahoma"/>
          <w:sz w:val="20"/>
          <w:szCs w:val="20"/>
        </w:rPr>
        <w:t xml:space="preserve">ση των στοιχείων του σημείου γ) </w:t>
      </w:r>
    </w:p>
    <w:p w14:paraId="3ABC216A" w14:textId="77777777" w:rsidR="00147C71" w:rsidRDefault="00147C71" w:rsidP="00637C10">
      <w:pPr>
        <w:pStyle w:val="BodyText21"/>
        <w:spacing w:after="120" w:line="240" w:lineRule="auto"/>
        <w:ind w:right="26"/>
        <w:outlineLvl w:val="0"/>
        <w:rPr>
          <w:rFonts w:ascii="Tahoma" w:hAnsi="Tahoma" w:cs="Tahoma"/>
          <w:b/>
          <w:sz w:val="20"/>
        </w:rPr>
      </w:pPr>
    </w:p>
    <w:p w14:paraId="5E5AAEB5" w14:textId="77777777" w:rsidR="00313779" w:rsidRPr="00637C10" w:rsidRDefault="00313779" w:rsidP="00EE3B6F">
      <w:pPr>
        <w:pStyle w:val="BodyText21"/>
        <w:tabs>
          <w:tab w:val="left" w:pos="284"/>
        </w:tabs>
        <w:spacing w:after="120" w:line="240" w:lineRule="auto"/>
        <w:ind w:right="26"/>
        <w:outlineLvl w:val="0"/>
        <w:rPr>
          <w:rFonts w:ascii="Tahoma" w:hAnsi="Tahoma" w:cs="Tahoma"/>
          <w:b/>
          <w:sz w:val="20"/>
        </w:rPr>
      </w:pPr>
      <w:r w:rsidRPr="00637C10">
        <w:rPr>
          <w:rFonts w:ascii="Tahoma" w:hAnsi="Tahoma" w:cs="Tahoma"/>
          <w:b/>
          <w:sz w:val="20"/>
        </w:rPr>
        <w:t xml:space="preserve">Β. </w:t>
      </w:r>
      <w:r w:rsidR="00F001F1">
        <w:rPr>
          <w:rFonts w:ascii="Tahoma" w:hAnsi="Tahoma" w:cs="Tahoma"/>
          <w:b/>
          <w:sz w:val="20"/>
        </w:rPr>
        <w:tab/>
      </w:r>
      <w:r w:rsidRPr="00637C10">
        <w:rPr>
          <w:rFonts w:ascii="Tahoma" w:hAnsi="Tahoma" w:cs="Tahoma"/>
          <w:b/>
          <w:sz w:val="20"/>
        </w:rPr>
        <w:t>Υποχρεώσεις Ειδικού μέρους του ΓΑΚ</w:t>
      </w:r>
    </w:p>
    <w:p w14:paraId="57ED2F5E" w14:textId="77777777" w:rsidR="00416DD6" w:rsidRDefault="00CA39AE" w:rsidP="00A62A0F">
      <w:pPr>
        <w:spacing w:after="120" w:line="240" w:lineRule="auto"/>
        <w:ind w:left="425"/>
        <w:jc w:val="both"/>
        <w:rPr>
          <w:rFonts w:ascii="Tahoma" w:hAnsi="Tahoma" w:cs="Tahoma"/>
          <w:sz w:val="20"/>
          <w:szCs w:val="20"/>
        </w:rPr>
      </w:pPr>
      <w:r w:rsidRPr="00637C10">
        <w:rPr>
          <w:rFonts w:ascii="Tahoma" w:hAnsi="Tahoma" w:cs="Tahoma"/>
          <w:sz w:val="20"/>
          <w:szCs w:val="20"/>
        </w:rPr>
        <w:t xml:space="preserve">Πρέπει να τηρούνται </w:t>
      </w:r>
      <w:r w:rsidR="00C06212" w:rsidRPr="00637C10">
        <w:rPr>
          <w:rFonts w:ascii="Tahoma" w:hAnsi="Tahoma" w:cs="Tahoma"/>
          <w:sz w:val="20"/>
          <w:szCs w:val="20"/>
        </w:rPr>
        <w:t>ο</w:t>
      </w:r>
      <w:r w:rsidR="00C77FBA" w:rsidRPr="00637C10">
        <w:rPr>
          <w:rFonts w:ascii="Tahoma" w:hAnsi="Tahoma" w:cs="Tahoma"/>
          <w:sz w:val="20"/>
          <w:szCs w:val="20"/>
        </w:rPr>
        <w:t xml:space="preserve">ι προϋποθέσεις </w:t>
      </w:r>
      <w:r w:rsidR="00013FCD">
        <w:rPr>
          <w:rFonts w:ascii="Tahoma" w:hAnsi="Tahoma" w:cs="Tahoma"/>
          <w:sz w:val="20"/>
          <w:szCs w:val="20"/>
        </w:rPr>
        <w:t xml:space="preserve">συμβατότητας </w:t>
      </w:r>
      <w:r w:rsidR="00C77FBA" w:rsidRPr="00637C10">
        <w:rPr>
          <w:rFonts w:ascii="Tahoma" w:hAnsi="Tahoma" w:cs="Tahoma"/>
          <w:sz w:val="20"/>
          <w:szCs w:val="20"/>
        </w:rPr>
        <w:t xml:space="preserve">που πηγάζουν από τις διατάξεις </w:t>
      </w:r>
      <w:r w:rsidR="00013FCD">
        <w:rPr>
          <w:rFonts w:ascii="Tahoma" w:hAnsi="Tahoma" w:cs="Tahoma"/>
          <w:sz w:val="20"/>
          <w:szCs w:val="20"/>
        </w:rPr>
        <w:t xml:space="preserve">του άρθρου 45 του ειδικού μέρους του </w:t>
      </w:r>
      <w:r w:rsidR="004B5BB5">
        <w:rPr>
          <w:rFonts w:ascii="Tahoma" w:hAnsi="Tahoma" w:cs="Tahoma"/>
          <w:sz w:val="20"/>
          <w:szCs w:val="20"/>
        </w:rPr>
        <w:t>ΓΑΚ</w:t>
      </w:r>
      <w:r w:rsidR="00013FCD">
        <w:rPr>
          <w:rFonts w:ascii="Tahoma" w:hAnsi="Tahoma" w:cs="Tahoma"/>
          <w:sz w:val="20"/>
          <w:szCs w:val="20"/>
        </w:rPr>
        <w:t xml:space="preserve"> που πρόκειται να εφαρμοσθούν </w:t>
      </w:r>
      <w:r w:rsidR="007E6B12">
        <w:rPr>
          <w:rFonts w:ascii="Tahoma" w:hAnsi="Tahoma" w:cs="Tahoma"/>
          <w:sz w:val="20"/>
          <w:szCs w:val="20"/>
        </w:rPr>
        <w:t xml:space="preserve">κατά περίπτωση </w:t>
      </w:r>
      <w:r w:rsidR="00013FCD">
        <w:rPr>
          <w:rFonts w:ascii="Tahoma" w:hAnsi="Tahoma" w:cs="Tahoma"/>
          <w:sz w:val="20"/>
          <w:szCs w:val="20"/>
        </w:rPr>
        <w:t xml:space="preserve">(δράση) και να προβλέπεται διαδικασία/μηχανισμός επιβεβαίωσης και παρακολούθησης συμβατότητας. </w:t>
      </w:r>
    </w:p>
    <w:p w14:paraId="413F0C47" w14:textId="77777777" w:rsidR="00013FCD" w:rsidRPr="00655787" w:rsidRDefault="00013FCD" w:rsidP="00A62A0F">
      <w:pPr>
        <w:spacing w:after="120" w:line="240" w:lineRule="auto"/>
        <w:ind w:left="425"/>
        <w:jc w:val="both"/>
        <w:rPr>
          <w:rFonts w:ascii="Tahoma" w:hAnsi="Tahoma" w:cs="Tahoma"/>
          <w:b/>
          <w:sz w:val="20"/>
          <w:szCs w:val="20"/>
          <w:u w:val="single"/>
        </w:rPr>
      </w:pPr>
      <w:r w:rsidRPr="00655787">
        <w:rPr>
          <w:rFonts w:ascii="Tahoma" w:hAnsi="Tahoma" w:cs="Tahoma"/>
          <w:b/>
          <w:sz w:val="20"/>
          <w:szCs w:val="20"/>
          <w:u w:val="single"/>
        </w:rPr>
        <w:t>Άρθρο 45</w:t>
      </w:r>
    </w:p>
    <w:p w14:paraId="2AC6E58C" w14:textId="77777777" w:rsidR="00013FCD" w:rsidRPr="00655787" w:rsidRDefault="00013FCD" w:rsidP="00A62A0F">
      <w:pPr>
        <w:spacing w:after="120" w:line="240" w:lineRule="auto"/>
        <w:ind w:left="425"/>
        <w:jc w:val="both"/>
        <w:rPr>
          <w:rFonts w:ascii="Tahoma" w:hAnsi="Tahoma" w:cs="Tahoma"/>
          <w:b/>
          <w:sz w:val="20"/>
          <w:szCs w:val="20"/>
          <w:u w:val="single"/>
        </w:rPr>
      </w:pPr>
      <w:r w:rsidRPr="00655787">
        <w:rPr>
          <w:rFonts w:ascii="Tahoma" w:hAnsi="Tahoma" w:cs="Tahoma"/>
          <w:b/>
          <w:sz w:val="20"/>
          <w:szCs w:val="20"/>
          <w:u w:val="single"/>
        </w:rPr>
        <w:t>Επενδυτικές ενισχύσεις για την αποκατάσταση μολυσμένων χώρων</w:t>
      </w:r>
    </w:p>
    <w:p w14:paraId="2B60F8F6" w14:textId="77777777" w:rsidR="00A62A0F" w:rsidRPr="00A62A0F" w:rsidRDefault="00312B5A" w:rsidP="00A62A0F">
      <w:pPr>
        <w:spacing w:after="120" w:line="240" w:lineRule="auto"/>
        <w:ind w:left="425"/>
        <w:jc w:val="both"/>
        <w:rPr>
          <w:rFonts w:ascii="Tahoma" w:hAnsi="Tahoma" w:cs="Tahoma"/>
          <w:sz w:val="20"/>
          <w:szCs w:val="20"/>
        </w:rPr>
      </w:pPr>
      <w:r w:rsidRPr="00495998">
        <w:rPr>
          <w:rFonts w:ascii="Tahoma" w:hAnsi="Tahoma" w:cs="Tahoma"/>
          <w:sz w:val="20"/>
          <w:szCs w:val="20"/>
        </w:rPr>
        <w:t>1</w:t>
      </w:r>
      <w:r>
        <w:rPr>
          <w:rFonts w:ascii="Tahoma" w:hAnsi="Tahoma" w:cs="Tahoma"/>
          <w:sz w:val="20"/>
          <w:szCs w:val="20"/>
        </w:rPr>
        <w:t xml:space="preserve">. </w:t>
      </w:r>
      <w:r w:rsidR="00655787">
        <w:rPr>
          <w:rFonts w:ascii="Tahoma" w:hAnsi="Tahoma" w:cs="Tahoma"/>
          <w:sz w:val="20"/>
          <w:szCs w:val="20"/>
        </w:rPr>
        <w:t>Οι επενδυτικές ενισχύσεις προς επιχειρήσεις που προβαίνουν σε αποκατάσταση περιβαλλοντικής ζημίας μέσω αποκατάστασης μολυσμένων χώρων σ</w:t>
      </w:r>
      <w:r w:rsidR="00A62A0F" w:rsidRPr="00A62A0F">
        <w:rPr>
          <w:rFonts w:ascii="Tahoma" w:hAnsi="Tahoma" w:cs="Tahoma"/>
          <w:sz w:val="20"/>
          <w:szCs w:val="20"/>
        </w:rPr>
        <w:t xml:space="preserve">υμβιβάζονται </w:t>
      </w:r>
      <w:r w:rsidR="00655787">
        <w:rPr>
          <w:rFonts w:ascii="Tahoma" w:hAnsi="Tahoma" w:cs="Tahoma"/>
          <w:sz w:val="20"/>
          <w:szCs w:val="20"/>
        </w:rPr>
        <w:t xml:space="preserve">με την εσωτερική αγορά κατά την έννοια του άρθρου 107 παράγραφος 3 της Συνθήκης και </w:t>
      </w:r>
      <w:r w:rsidR="00A62A0F" w:rsidRPr="00A62A0F">
        <w:rPr>
          <w:rFonts w:ascii="Tahoma" w:hAnsi="Tahoma" w:cs="Tahoma"/>
          <w:sz w:val="20"/>
          <w:szCs w:val="20"/>
        </w:rPr>
        <w:t>απαλλάσσονται</w:t>
      </w:r>
      <w:r w:rsidR="00655787">
        <w:rPr>
          <w:rFonts w:ascii="Tahoma" w:hAnsi="Tahoma" w:cs="Tahoma"/>
          <w:sz w:val="20"/>
          <w:szCs w:val="20"/>
        </w:rPr>
        <w:t xml:space="preserve"> από την υποχρέωση κοινοποίησης που προβλέπεται στο άρθρο 108 παράγραφος 3 της Συνθήκης, εφόσον</w:t>
      </w:r>
      <w:r w:rsidR="00A62A0F" w:rsidRPr="00A62A0F">
        <w:rPr>
          <w:rFonts w:ascii="Tahoma" w:hAnsi="Tahoma" w:cs="Tahoma"/>
          <w:sz w:val="20"/>
          <w:szCs w:val="20"/>
        </w:rPr>
        <w:t xml:space="preserve"> πληρούνται οι </w:t>
      </w:r>
      <w:r w:rsidR="00655787">
        <w:rPr>
          <w:rFonts w:ascii="Tahoma" w:hAnsi="Tahoma" w:cs="Tahoma"/>
          <w:sz w:val="20"/>
          <w:szCs w:val="20"/>
        </w:rPr>
        <w:t>προϋποθέσεις του</w:t>
      </w:r>
      <w:r w:rsidR="00A62A0F" w:rsidRPr="00A62A0F">
        <w:rPr>
          <w:rFonts w:ascii="Tahoma" w:hAnsi="Tahoma" w:cs="Tahoma"/>
          <w:sz w:val="20"/>
          <w:szCs w:val="20"/>
        </w:rPr>
        <w:t xml:space="preserve"> άρθρου </w:t>
      </w:r>
      <w:r w:rsidR="00655787">
        <w:rPr>
          <w:rFonts w:ascii="Tahoma" w:hAnsi="Tahoma" w:cs="Tahoma"/>
          <w:sz w:val="20"/>
          <w:szCs w:val="20"/>
        </w:rPr>
        <w:t xml:space="preserve">45 και του κεφαλαίου Ι του ΓΑΚ. </w:t>
      </w:r>
    </w:p>
    <w:p w14:paraId="423BCBAF" w14:textId="77777777" w:rsidR="00495998" w:rsidRPr="00495998" w:rsidRDefault="00495998" w:rsidP="00495998">
      <w:pPr>
        <w:spacing w:after="120" w:line="240" w:lineRule="auto"/>
        <w:ind w:left="425"/>
        <w:jc w:val="both"/>
        <w:rPr>
          <w:rFonts w:ascii="Tahoma" w:hAnsi="Tahoma" w:cs="Tahoma"/>
          <w:sz w:val="20"/>
          <w:szCs w:val="20"/>
        </w:rPr>
      </w:pPr>
      <w:r w:rsidRPr="00495998">
        <w:rPr>
          <w:rFonts w:ascii="Tahoma" w:hAnsi="Tahoma" w:cs="Tahoma"/>
          <w:sz w:val="20"/>
          <w:szCs w:val="20"/>
        </w:rPr>
        <w:t>2. Η επένδυση οδηγεί στην αποκατάσταση της περιβαλλοντικής ζημίας, συμπεριλαμβανομένης ζημίας στην ποιότητα του</w:t>
      </w:r>
      <w:r>
        <w:rPr>
          <w:rFonts w:ascii="Tahoma" w:hAnsi="Tahoma" w:cs="Tahoma"/>
          <w:sz w:val="20"/>
          <w:szCs w:val="20"/>
        </w:rPr>
        <w:t xml:space="preserve"> </w:t>
      </w:r>
      <w:r w:rsidRPr="00495998">
        <w:rPr>
          <w:rFonts w:ascii="Tahoma" w:hAnsi="Tahoma" w:cs="Tahoma"/>
          <w:sz w:val="20"/>
          <w:szCs w:val="20"/>
        </w:rPr>
        <w:t>εδάφους ή των επιφανειακών ή υπόγειων υδάτων.</w:t>
      </w:r>
    </w:p>
    <w:p w14:paraId="0B01DC02" w14:textId="77777777" w:rsidR="00495998" w:rsidRPr="00495998" w:rsidRDefault="00495998" w:rsidP="00495998">
      <w:pPr>
        <w:spacing w:after="120" w:line="240" w:lineRule="auto"/>
        <w:ind w:left="425"/>
        <w:jc w:val="both"/>
        <w:rPr>
          <w:rFonts w:ascii="Tahoma" w:hAnsi="Tahoma" w:cs="Tahoma"/>
          <w:sz w:val="20"/>
          <w:szCs w:val="20"/>
        </w:rPr>
      </w:pPr>
      <w:r w:rsidRPr="00495998">
        <w:rPr>
          <w:rFonts w:ascii="Tahoma" w:hAnsi="Tahoma" w:cs="Tahoma"/>
          <w:sz w:val="20"/>
          <w:szCs w:val="20"/>
        </w:rPr>
        <w:t>3. Όταν διαπιστώνεται η ταυτότητα του φυσικού ή νομικού προσώπου που είναι υπεύθυνο για την περιβαλλοντική ζημία,</w:t>
      </w:r>
      <w:r>
        <w:rPr>
          <w:rFonts w:ascii="Tahoma" w:hAnsi="Tahoma" w:cs="Tahoma"/>
          <w:sz w:val="20"/>
          <w:szCs w:val="20"/>
        </w:rPr>
        <w:t xml:space="preserve"> </w:t>
      </w:r>
      <w:r w:rsidRPr="00495998">
        <w:rPr>
          <w:rFonts w:ascii="Tahoma" w:hAnsi="Tahoma" w:cs="Tahoma"/>
          <w:sz w:val="20"/>
          <w:szCs w:val="20"/>
        </w:rPr>
        <w:t xml:space="preserve">σύμφωνα με το εφαρμοστέο δίκαιο σε κάθε κράτος μέλος, με την επιφύλαξη των </w:t>
      </w:r>
      <w:proofErr w:type="spellStart"/>
      <w:r w:rsidRPr="00495998">
        <w:rPr>
          <w:rFonts w:ascii="Tahoma" w:hAnsi="Tahoma" w:cs="Tahoma"/>
          <w:sz w:val="20"/>
          <w:szCs w:val="20"/>
        </w:rPr>
        <w:t>ενωσιακών</w:t>
      </w:r>
      <w:proofErr w:type="spellEnd"/>
      <w:r w:rsidRPr="00495998">
        <w:rPr>
          <w:rFonts w:ascii="Tahoma" w:hAnsi="Tahoma" w:cs="Tahoma"/>
          <w:sz w:val="20"/>
          <w:szCs w:val="20"/>
        </w:rPr>
        <w:t xml:space="preserve"> κανόνων στον τομέα αυτό, και ειδικότερα</w:t>
      </w:r>
      <w:r>
        <w:rPr>
          <w:rFonts w:ascii="Tahoma" w:hAnsi="Tahoma" w:cs="Tahoma"/>
          <w:sz w:val="20"/>
          <w:szCs w:val="20"/>
        </w:rPr>
        <w:t xml:space="preserve"> </w:t>
      </w:r>
      <w:r w:rsidRPr="00495998">
        <w:rPr>
          <w:rFonts w:ascii="Tahoma" w:hAnsi="Tahoma" w:cs="Tahoma"/>
          <w:sz w:val="20"/>
          <w:szCs w:val="20"/>
        </w:rPr>
        <w:t>της οδηγίας 2004/35/ΕΚ του Ευρωπαϊκού Κοινοβουλίου και του Συμβουλίου, της 21ης Απριλίου 2004, σχετικά με</w:t>
      </w:r>
      <w:r>
        <w:rPr>
          <w:rFonts w:ascii="Tahoma" w:hAnsi="Tahoma" w:cs="Tahoma"/>
          <w:sz w:val="20"/>
          <w:szCs w:val="20"/>
        </w:rPr>
        <w:t xml:space="preserve"> </w:t>
      </w:r>
      <w:r w:rsidRPr="00495998">
        <w:rPr>
          <w:rFonts w:ascii="Tahoma" w:hAnsi="Tahoma" w:cs="Tahoma"/>
          <w:sz w:val="20"/>
          <w:szCs w:val="20"/>
        </w:rPr>
        <w:t>την περιβαλλοντική ευθύνη όσον αφορά την πρόληψη και την αποκατάσταση περιβαλλοντικής ζημίας (2), όπως τροποποιήθηκε</w:t>
      </w:r>
      <w:r>
        <w:rPr>
          <w:rFonts w:ascii="Tahoma" w:hAnsi="Tahoma" w:cs="Tahoma"/>
          <w:sz w:val="20"/>
          <w:szCs w:val="20"/>
        </w:rPr>
        <w:t xml:space="preserve"> </w:t>
      </w:r>
      <w:r w:rsidRPr="00495998">
        <w:rPr>
          <w:rFonts w:ascii="Tahoma" w:hAnsi="Tahoma" w:cs="Tahoma"/>
          <w:sz w:val="20"/>
          <w:szCs w:val="20"/>
        </w:rPr>
        <w:t>με την οδηγία 2006/21/ΕΚ του Ευρωπαϊκού Κοινοβουλίου και του Συμβουλίου, της 15ης Μαρτίου 2006, σχετικά με τη διαχείριση</w:t>
      </w:r>
      <w:r>
        <w:rPr>
          <w:rFonts w:ascii="Tahoma" w:hAnsi="Tahoma" w:cs="Tahoma"/>
          <w:sz w:val="20"/>
          <w:szCs w:val="20"/>
        </w:rPr>
        <w:t xml:space="preserve"> </w:t>
      </w:r>
      <w:r w:rsidRPr="00495998">
        <w:rPr>
          <w:rFonts w:ascii="Tahoma" w:hAnsi="Tahoma" w:cs="Tahoma"/>
          <w:sz w:val="20"/>
          <w:szCs w:val="20"/>
        </w:rPr>
        <w:t>των αποβλήτων της εξορυκτικής βιομηχανίας (3), την οδηγία 2009/31/ΕΚ του Ευρωπαϊκού Κοινοβουλίου και του Συμβουλίου,</w:t>
      </w:r>
      <w:r>
        <w:rPr>
          <w:rFonts w:ascii="Tahoma" w:hAnsi="Tahoma" w:cs="Tahoma"/>
          <w:sz w:val="20"/>
          <w:szCs w:val="20"/>
        </w:rPr>
        <w:t xml:space="preserve"> </w:t>
      </w:r>
      <w:r w:rsidRPr="00495998">
        <w:rPr>
          <w:rFonts w:ascii="Tahoma" w:hAnsi="Tahoma" w:cs="Tahoma"/>
          <w:sz w:val="20"/>
          <w:szCs w:val="20"/>
        </w:rPr>
        <w:t>της 23ης Απριλίου 2009, σχετικά με την αποθήκευση διοξειδίου του άνθρακα σε γεωλογικούς σχηματισμούς και για την</w:t>
      </w:r>
      <w:r>
        <w:rPr>
          <w:rFonts w:ascii="Tahoma" w:hAnsi="Tahoma" w:cs="Tahoma"/>
          <w:sz w:val="20"/>
          <w:szCs w:val="20"/>
        </w:rPr>
        <w:t xml:space="preserve"> </w:t>
      </w:r>
      <w:r w:rsidRPr="00495998">
        <w:rPr>
          <w:rFonts w:ascii="Tahoma" w:hAnsi="Tahoma" w:cs="Tahoma"/>
          <w:sz w:val="20"/>
          <w:szCs w:val="20"/>
        </w:rPr>
        <w:t>τροποποίηση της οδηγίας 85/337/ΕΟΚ του Συμβουλίου, των οδηγιών του Ευρωπαϊκού Κοινοβουλίου και του Συμβουλίου</w:t>
      </w:r>
      <w:r>
        <w:rPr>
          <w:rFonts w:ascii="Tahoma" w:hAnsi="Tahoma" w:cs="Tahoma"/>
          <w:sz w:val="20"/>
          <w:szCs w:val="20"/>
        </w:rPr>
        <w:t xml:space="preserve"> </w:t>
      </w:r>
      <w:r w:rsidRPr="00495998">
        <w:rPr>
          <w:rFonts w:ascii="Tahoma" w:hAnsi="Tahoma" w:cs="Tahoma"/>
          <w:sz w:val="20"/>
          <w:szCs w:val="20"/>
        </w:rPr>
        <w:t>2000/60/ΕΚ, 2001/80/ΕΚ, 2004/35/ΕΚ, 2006/12/ΕΚ και 2008/1/ΕΚ, και του κανονισμού (ΕΚ) αριθ. 1013/2006 (4), και την</w:t>
      </w:r>
    </w:p>
    <w:p w14:paraId="6161EDA0" w14:textId="77777777" w:rsidR="00495998" w:rsidRPr="00495998" w:rsidRDefault="00495998" w:rsidP="00495998">
      <w:pPr>
        <w:spacing w:after="120" w:line="240" w:lineRule="auto"/>
        <w:ind w:left="425"/>
        <w:jc w:val="both"/>
        <w:rPr>
          <w:rFonts w:ascii="Tahoma" w:hAnsi="Tahoma" w:cs="Tahoma"/>
          <w:sz w:val="20"/>
          <w:szCs w:val="20"/>
        </w:rPr>
      </w:pPr>
      <w:r w:rsidRPr="00495998">
        <w:rPr>
          <w:rFonts w:ascii="Tahoma" w:hAnsi="Tahoma" w:cs="Tahoma"/>
          <w:sz w:val="20"/>
          <w:szCs w:val="20"/>
        </w:rPr>
        <w:t>οδηγία 2013/30/ΕΕ του Ευρωπαϊκού Κοινοβουλίου και του Συμβουλίου, της 12ης Ιουνίου 2013, για την ασφάλεια των υπεράκτιων</w:t>
      </w:r>
      <w:r>
        <w:rPr>
          <w:rFonts w:ascii="Tahoma" w:hAnsi="Tahoma" w:cs="Tahoma"/>
          <w:sz w:val="20"/>
          <w:szCs w:val="20"/>
        </w:rPr>
        <w:t xml:space="preserve"> </w:t>
      </w:r>
      <w:r w:rsidRPr="00495998">
        <w:rPr>
          <w:rFonts w:ascii="Tahoma" w:hAnsi="Tahoma" w:cs="Tahoma"/>
          <w:sz w:val="20"/>
          <w:szCs w:val="20"/>
        </w:rPr>
        <w:t>εργασιών πετρελαίου και φυσικού αερίου και την τροποποίηση της οδηγίας 2004/35/ΕΚ (5), το εν λόγω πρόσωπο οφείλει</w:t>
      </w:r>
      <w:r>
        <w:rPr>
          <w:rFonts w:ascii="Tahoma" w:hAnsi="Tahoma" w:cs="Tahoma"/>
          <w:sz w:val="20"/>
          <w:szCs w:val="20"/>
        </w:rPr>
        <w:t xml:space="preserve"> </w:t>
      </w:r>
      <w:r w:rsidRPr="00495998">
        <w:rPr>
          <w:rFonts w:ascii="Tahoma" w:hAnsi="Tahoma" w:cs="Tahoma"/>
          <w:sz w:val="20"/>
          <w:szCs w:val="20"/>
        </w:rPr>
        <w:t xml:space="preserve">να αναλάβει το κόστος της αποκατάστασης σύμφωνα με την αρχή «ο </w:t>
      </w:r>
      <w:proofErr w:type="spellStart"/>
      <w:r w:rsidRPr="00495998">
        <w:rPr>
          <w:rFonts w:ascii="Tahoma" w:hAnsi="Tahoma" w:cs="Tahoma"/>
          <w:sz w:val="20"/>
          <w:szCs w:val="20"/>
        </w:rPr>
        <w:t>ρυπαίνων</w:t>
      </w:r>
      <w:proofErr w:type="spellEnd"/>
      <w:r w:rsidRPr="00495998">
        <w:rPr>
          <w:rFonts w:ascii="Tahoma" w:hAnsi="Tahoma" w:cs="Tahoma"/>
          <w:sz w:val="20"/>
          <w:szCs w:val="20"/>
        </w:rPr>
        <w:t xml:space="preserve"> πληρώνει» και δεν χορηγείται κρατική ενίσχυση.</w:t>
      </w:r>
    </w:p>
    <w:p w14:paraId="04E5F61C" w14:textId="77777777" w:rsidR="00495998" w:rsidRPr="00495998" w:rsidRDefault="00495998" w:rsidP="00495998">
      <w:pPr>
        <w:spacing w:after="120" w:line="240" w:lineRule="auto"/>
        <w:ind w:left="425"/>
        <w:jc w:val="both"/>
        <w:rPr>
          <w:rFonts w:ascii="Tahoma" w:hAnsi="Tahoma" w:cs="Tahoma"/>
          <w:sz w:val="20"/>
          <w:szCs w:val="20"/>
        </w:rPr>
      </w:pPr>
      <w:r w:rsidRPr="00495998">
        <w:rPr>
          <w:rFonts w:ascii="Tahoma" w:hAnsi="Tahoma" w:cs="Tahoma"/>
          <w:sz w:val="20"/>
          <w:szCs w:val="20"/>
        </w:rPr>
        <w:t>Όταν η ταυτότητα του υπεύθυνου σύμφωνα με το εφαρμοστέο δίκαιο δεν έχει διαπιστωθεί ή όταν αυτός δεν μπορεί να εξαναγκαστεί</w:t>
      </w:r>
      <w:r>
        <w:rPr>
          <w:rFonts w:ascii="Tahoma" w:hAnsi="Tahoma" w:cs="Tahoma"/>
          <w:sz w:val="20"/>
          <w:szCs w:val="20"/>
        </w:rPr>
        <w:t xml:space="preserve"> </w:t>
      </w:r>
      <w:r w:rsidRPr="00495998">
        <w:rPr>
          <w:rFonts w:ascii="Tahoma" w:hAnsi="Tahoma" w:cs="Tahoma"/>
          <w:sz w:val="20"/>
          <w:szCs w:val="20"/>
        </w:rPr>
        <w:t>να επιβαρυνθεί με το σχετικό κόστος, το πρόσωπο που είναι υπεύθυνο για την αποκατάσταση ή την απορρύπανση</w:t>
      </w:r>
      <w:r>
        <w:rPr>
          <w:rFonts w:ascii="Tahoma" w:hAnsi="Tahoma" w:cs="Tahoma"/>
          <w:sz w:val="20"/>
          <w:szCs w:val="20"/>
        </w:rPr>
        <w:t xml:space="preserve"> </w:t>
      </w:r>
      <w:r w:rsidRPr="00495998">
        <w:rPr>
          <w:rFonts w:ascii="Tahoma" w:hAnsi="Tahoma" w:cs="Tahoma"/>
          <w:sz w:val="20"/>
          <w:szCs w:val="20"/>
        </w:rPr>
        <w:t>μπορεί να λάβει κρατική ενίσχυση.</w:t>
      </w:r>
    </w:p>
    <w:p w14:paraId="051F41A1" w14:textId="77777777" w:rsidR="00495998" w:rsidRPr="00495998" w:rsidRDefault="00495998" w:rsidP="00495998">
      <w:pPr>
        <w:spacing w:after="120" w:line="240" w:lineRule="auto"/>
        <w:ind w:left="425"/>
        <w:jc w:val="both"/>
        <w:rPr>
          <w:rFonts w:ascii="Tahoma" w:hAnsi="Tahoma" w:cs="Tahoma"/>
          <w:sz w:val="20"/>
          <w:szCs w:val="20"/>
        </w:rPr>
      </w:pPr>
      <w:r w:rsidRPr="00495998">
        <w:rPr>
          <w:rFonts w:ascii="Tahoma" w:hAnsi="Tahoma" w:cs="Tahoma"/>
          <w:sz w:val="20"/>
          <w:szCs w:val="20"/>
        </w:rPr>
        <w:t>4. Επιλέξιμες είναι οι δαπάνες που απαιτούνται για τις εργασίες αποκατάστασης, μειωμένες κατά την αύξηση της αξίας του</w:t>
      </w:r>
      <w:r w:rsidR="008D4418">
        <w:rPr>
          <w:rFonts w:ascii="Tahoma" w:hAnsi="Tahoma" w:cs="Tahoma"/>
          <w:sz w:val="20"/>
          <w:szCs w:val="20"/>
        </w:rPr>
        <w:t xml:space="preserve"> </w:t>
      </w:r>
      <w:r w:rsidRPr="00495998">
        <w:rPr>
          <w:rFonts w:ascii="Tahoma" w:hAnsi="Tahoma" w:cs="Tahoma"/>
          <w:sz w:val="20"/>
          <w:szCs w:val="20"/>
        </w:rPr>
        <w:t>γηπέδου. Στην περίπτωση της αποκατάστασης μολυσμένων χώρων, όλες οι δαπάνες στις οποίες υποβάλλεται μια επιχείρηση κατά</w:t>
      </w:r>
      <w:r w:rsidR="008D4418">
        <w:rPr>
          <w:rFonts w:ascii="Tahoma" w:hAnsi="Tahoma" w:cs="Tahoma"/>
          <w:sz w:val="20"/>
          <w:szCs w:val="20"/>
        </w:rPr>
        <w:t xml:space="preserve"> </w:t>
      </w:r>
      <w:r w:rsidRPr="00495998">
        <w:rPr>
          <w:rFonts w:ascii="Tahoma" w:hAnsi="Tahoma" w:cs="Tahoma"/>
          <w:sz w:val="20"/>
          <w:szCs w:val="20"/>
        </w:rPr>
        <w:t>την αποκατάσταση του χώρου της μπορούν να θεωρηθούν επιλέξιμες επενδύσεις, ανεξαρτήτως του εάν είναι ή όχι δυνατή η</w:t>
      </w:r>
      <w:r w:rsidR="008D4418">
        <w:rPr>
          <w:rFonts w:ascii="Tahoma" w:hAnsi="Tahoma" w:cs="Tahoma"/>
          <w:sz w:val="20"/>
          <w:szCs w:val="20"/>
        </w:rPr>
        <w:t xml:space="preserve"> </w:t>
      </w:r>
      <w:r w:rsidRPr="00495998">
        <w:rPr>
          <w:rFonts w:ascii="Tahoma" w:hAnsi="Tahoma" w:cs="Tahoma"/>
          <w:sz w:val="20"/>
          <w:szCs w:val="20"/>
        </w:rPr>
        <w:t>εγγραφή των εν λόγω δαπανών στον ισολογισμό της ως πάγιων στοιχείων ενεργητικού.</w:t>
      </w:r>
    </w:p>
    <w:p w14:paraId="1B256C79" w14:textId="77777777" w:rsidR="00495998" w:rsidRPr="00495998" w:rsidRDefault="00495998" w:rsidP="00495998">
      <w:pPr>
        <w:spacing w:after="120" w:line="240" w:lineRule="auto"/>
        <w:ind w:left="425"/>
        <w:jc w:val="both"/>
        <w:rPr>
          <w:rFonts w:ascii="Tahoma" w:hAnsi="Tahoma" w:cs="Tahoma"/>
          <w:sz w:val="20"/>
          <w:szCs w:val="20"/>
        </w:rPr>
      </w:pPr>
      <w:r w:rsidRPr="00495998">
        <w:rPr>
          <w:rFonts w:ascii="Tahoma" w:hAnsi="Tahoma" w:cs="Tahoma"/>
          <w:sz w:val="20"/>
          <w:szCs w:val="20"/>
        </w:rPr>
        <w:t>5. Οι αποτιμήσεις της αύξησης της αξίας του γηπέδου λόγω της αποκατάστασης διενεργούνται από ανεξάρτητο εμπειρογνώμονα.</w:t>
      </w:r>
    </w:p>
    <w:p w14:paraId="05BF0D2A" w14:textId="77777777" w:rsidR="00495998" w:rsidRPr="00495998" w:rsidRDefault="00495998" w:rsidP="00495998">
      <w:pPr>
        <w:spacing w:after="120" w:line="240" w:lineRule="auto"/>
        <w:ind w:left="425"/>
        <w:jc w:val="both"/>
        <w:rPr>
          <w:rFonts w:ascii="Tahoma" w:hAnsi="Tahoma" w:cs="Tahoma"/>
          <w:sz w:val="20"/>
          <w:szCs w:val="20"/>
        </w:rPr>
      </w:pPr>
      <w:r w:rsidRPr="00495998">
        <w:rPr>
          <w:rFonts w:ascii="Tahoma" w:hAnsi="Tahoma" w:cs="Tahoma"/>
          <w:sz w:val="20"/>
          <w:szCs w:val="20"/>
        </w:rPr>
        <w:t>6. Η ένταση της ενίσχυσης δεν υπερβαίνει το 100 % των επιλέξιμων δαπανών.</w:t>
      </w:r>
    </w:p>
    <w:p w14:paraId="0D68C85F" w14:textId="5BDA2D00" w:rsidR="00B65326" w:rsidRDefault="00B65326">
      <w:pPr>
        <w:rPr>
          <w:rFonts w:ascii="Tahoma" w:hAnsi="Tahoma" w:cs="Tahoma"/>
          <w:sz w:val="20"/>
          <w:szCs w:val="20"/>
        </w:rPr>
      </w:pPr>
    </w:p>
    <w:sectPr w:rsidR="00B65326" w:rsidSect="005B1BAA">
      <w:headerReference w:type="default" r:id="rId8"/>
      <w:footerReference w:type="default" r:id="rId9"/>
      <w:pgSz w:w="11907" w:h="16840" w:code="9"/>
      <w:pgMar w:top="1276" w:right="1417" w:bottom="1134" w:left="993" w:header="425"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2349" w14:textId="77777777" w:rsidR="0022693B" w:rsidRDefault="0022693B">
      <w:pPr>
        <w:spacing w:after="0" w:line="240" w:lineRule="auto"/>
      </w:pPr>
      <w:r>
        <w:separator/>
      </w:r>
    </w:p>
  </w:endnote>
  <w:endnote w:type="continuationSeparator" w:id="0">
    <w:p w14:paraId="55D238C1" w14:textId="77777777" w:rsidR="0022693B" w:rsidRDefault="0022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altName w:val="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22693B" w14:paraId="2F49C704" w14:textId="77777777" w:rsidTr="00506DDE">
      <w:trPr>
        <w:trHeight w:val="1301"/>
      </w:trPr>
      <w:tc>
        <w:tcPr>
          <w:tcW w:w="2402" w:type="dxa"/>
          <w:shd w:val="clear" w:color="auto" w:fill="FFFFFF"/>
        </w:tcPr>
        <w:p w14:paraId="5AA099F4" w14:textId="77777777" w:rsidR="0022693B" w:rsidRDefault="0022693B">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5C624205" wp14:editId="408BB00E">
                <wp:extent cx="676275" cy="428625"/>
                <wp:effectExtent l="0" t="0" r="9525"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14:paraId="5E3F1D00" w14:textId="77777777" w:rsidR="0022693B" w:rsidRPr="00B55C10" w:rsidRDefault="0022693B">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14:paraId="36487067" w14:textId="77777777" w:rsidR="0022693B" w:rsidRDefault="0022693B">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14:paraId="140CEC5F" w14:textId="77777777" w:rsidR="0022693B" w:rsidRDefault="0022693B">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14:paraId="4ED4C0E4" w14:textId="77777777" w:rsidR="0022693B" w:rsidRDefault="0022693B">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14:paraId="52F8D680" w14:textId="77777777" w:rsidR="0022693B" w:rsidRDefault="0022693B">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9EDD4B0" wp14:editId="44054857">
                <wp:extent cx="990600" cy="590550"/>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22693B" w14:paraId="7C923B32" w14:textId="77777777" w:rsidTr="001327C7">
      <w:trPr>
        <w:trHeight w:val="392"/>
      </w:trPr>
      <w:tc>
        <w:tcPr>
          <w:tcW w:w="9559" w:type="dxa"/>
          <w:gridSpan w:val="4"/>
          <w:shd w:val="clear" w:color="auto" w:fill="FFFFFF"/>
          <w:vAlign w:val="center"/>
        </w:tcPr>
        <w:p w14:paraId="3C64A81D" w14:textId="77777777" w:rsidR="0022693B" w:rsidRPr="00506DDE" w:rsidRDefault="0022693B"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Pr>
              <w:rFonts w:cs="Tahoma"/>
              <w:bCs/>
              <w:color w:val="000000"/>
              <w:sz w:val="16"/>
              <w:szCs w:val="16"/>
            </w:rPr>
            <w:fldChar w:fldCharType="begin"/>
          </w:r>
          <w:r>
            <w:rPr>
              <w:rFonts w:cs="Tahoma"/>
              <w:bCs/>
              <w:color w:val="000000"/>
              <w:sz w:val="16"/>
              <w:szCs w:val="16"/>
            </w:rPr>
            <w:instrText xml:space="preserve"> PAGE  \* Arabic  \* MERGEFORMAT </w:instrText>
          </w:r>
          <w:r>
            <w:rPr>
              <w:rFonts w:cs="Tahoma"/>
              <w:bCs/>
              <w:color w:val="000000"/>
              <w:sz w:val="16"/>
              <w:szCs w:val="16"/>
            </w:rPr>
            <w:fldChar w:fldCharType="separate"/>
          </w:r>
          <w:r w:rsidR="00D57910">
            <w:rPr>
              <w:rFonts w:cs="Tahoma"/>
              <w:bCs/>
              <w:noProof/>
              <w:color w:val="000000"/>
              <w:sz w:val="16"/>
              <w:szCs w:val="16"/>
            </w:rPr>
            <w:t>2</w:t>
          </w:r>
          <w:r>
            <w:rPr>
              <w:rFonts w:cs="Tahoma"/>
              <w:bCs/>
              <w:color w:val="000000"/>
              <w:sz w:val="16"/>
              <w:szCs w:val="16"/>
            </w:rPr>
            <w:fldChar w:fldCharType="end"/>
          </w:r>
        </w:p>
      </w:tc>
    </w:tr>
  </w:tbl>
  <w:p w14:paraId="10F5E521" w14:textId="77777777" w:rsidR="0022693B" w:rsidRDefault="0022693B"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B9C43" w14:textId="77777777" w:rsidR="0022693B" w:rsidRDefault="0022693B">
      <w:pPr>
        <w:spacing w:after="0" w:line="240" w:lineRule="auto"/>
      </w:pPr>
      <w:r>
        <w:separator/>
      </w:r>
    </w:p>
  </w:footnote>
  <w:footnote w:type="continuationSeparator" w:id="0">
    <w:p w14:paraId="04E53F4A" w14:textId="77777777" w:rsidR="0022693B" w:rsidRDefault="00226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FD04" w14:textId="77777777" w:rsidR="0022693B" w:rsidRDefault="0022693B">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BD4595"/>
    <w:multiLevelType w:val="hybridMultilevel"/>
    <w:tmpl w:val="6DFE47F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137B0AB8"/>
    <w:multiLevelType w:val="hybridMultilevel"/>
    <w:tmpl w:val="B06CC218"/>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B4D18B9"/>
    <w:multiLevelType w:val="hybridMultilevel"/>
    <w:tmpl w:val="009A5980"/>
    <w:lvl w:ilvl="0" w:tplc="C408DBE2">
      <w:start w:val="1"/>
      <w:numFmt w:val="lowerRoman"/>
      <w:lvlText w:val="%1)"/>
      <w:lvlJc w:val="left"/>
      <w:pPr>
        <w:ind w:left="1429" w:hanging="72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4" w15:restartNumberingAfterBreak="0">
    <w:nsid w:val="1C313861"/>
    <w:multiLevelType w:val="hybridMultilevel"/>
    <w:tmpl w:val="1F405C2E"/>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E845384"/>
    <w:multiLevelType w:val="hybridMultilevel"/>
    <w:tmpl w:val="60CE4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68353E"/>
    <w:multiLevelType w:val="hybridMultilevel"/>
    <w:tmpl w:val="AB5C95E4"/>
    <w:lvl w:ilvl="0" w:tplc="A6C0A6E8">
      <w:start w:val="1"/>
      <w:numFmt w:val="lowerRoman"/>
      <w:lvlText w:val="%1)"/>
      <w:lvlJc w:val="left"/>
      <w:pPr>
        <w:ind w:left="1429" w:hanging="72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7" w15:restartNumberingAfterBreak="0">
    <w:nsid w:val="26A3707F"/>
    <w:multiLevelType w:val="hybridMultilevel"/>
    <w:tmpl w:val="272C0520"/>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ADF6FB2"/>
    <w:multiLevelType w:val="hybridMultilevel"/>
    <w:tmpl w:val="475CF204"/>
    <w:lvl w:ilvl="0" w:tplc="08090019">
      <w:start w:val="1"/>
      <w:numFmt w:val="lowerLetter"/>
      <w:lvlText w:val="%1."/>
      <w:lvlJc w:val="left"/>
      <w:pPr>
        <w:ind w:left="720" w:hanging="360"/>
      </w:pPr>
    </w:lvl>
    <w:lvl w:ilvl="1" w:tplc="4A3C6882">
      <w:start w:val="1"/>
      <w:numFmt w:val="lowerRoman"/>
      <w:lvlText w:val="(%2)"/>
      <w:lvlJc w:val="left"/>
      <w:pPr>
        <w:ind w:left="1800" w:hanging="72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D5E2757"/>
    <w:multiLevelType w:val="hybridMultilevel"/>
    <w:tmpl w:val="E58600C0"/>
    <w:lvl w:ilvl="0" w:tplc="4CEC4BAA">
      <w:start w:val="1"/>
      <w:numFmt w:val="lowerRoman"/>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0" w15:restartNumberingAfterBreak="0">
    <w:nsid w:val="30420C27"/>
    <w:multiLevelType w:val="hybridMultilevel"/>
    <w:tmpl w:val="E554719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1EB5269"/>
    <w:multiLevelType w:val="hybridMultilevel"/>
    <w:tmpl w:val="473EA3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C3D3A77"/>
    <w:multiLevelType w:val="hybridMultilevel"/>
    <w:tmpl w:val="3404DE20"/>
    <w:lvl w:ilvl="0" w:tplc="9C04AAEE">
      <w:numFmt w:val="bullet"/>
      <w:lvlText w:val="-"/>
      <w:lvlJc w:val="left"/>
      <w:pPr>
        <w:ind w:left="1440" w:hanging="360"/>
      </w:pPr>
      <w:rPr>
        <w:rFonts w:ascii="Times New Roman" w:eastAsia="Times New Roman" w:hAnsi="Times New Roman"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3E2E25A4"/>
    <w:multiLevelType w:val="hybridMultilevel"/>
    <w:tmpl w:val="5A18B38E"/>
    <w:lvl w:ilvl="0" w:tplc="A6C0A6E8">
      <w:start w:val="1"/>
      <w:numFmt w:val="lowerRoman"/>
      <w:lvlText w:val="%1)"/>
      <w:lvlJc w:val="left"/>
      <w:pPr>
        <w:ind w:left="1429"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1EC384D"/>
    <w:multiLevelType w:val="hybridMultilevel"/>
    <w:tmpl w:val="EECEF3D0"/>
    <w:lvl w:ilvl="0" w:tplc="AA3C421E">
      <w:start w:val="1"/>
      <w:numFmt w:val="lowerRoman"/>
      <w:lvlText w:val="%1)"/>
      <w:lvlJc w:val="left"/>
      <w:pPr>
        <w:ind w:left="1429" w:hanging="72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5" w15:restartNumberingAfterBreak="0">
    <w:nsid w:val="46F43394"/>
    <w:multiLevelType w:val="hybridMultilevel"/>
    <w:tmpl w:val="C09EF5F4"/>
    <w:lvl w:ilvl="0" w:tplc="08090019">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D126A41"/>
    <w:multiLevelType w:val="hybridMultilevel"/>
    <w:tmpl w:val="4148F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15:restartNumberingAfterBreak="0">
    <w:nsid w:val="51F27066"/>
    <w:multiLevelType w:val="hybridMultilevel"/>
    <w:tmpl w:val="9B80164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15:restartNumberingAfterBreak="0">
    <w:nsid w:val="5D083B05"/>
    <w:multiLevelType w:val="hybridMultilevel"/>
    <w:tmpl w:val="D3CCEE64"/>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8265D1"/>
    <w:multiLevelType w:val="hybridMultilevel"/>
    <w:tmpl w:val="BFCEB45A"/>
    <w:lvl w:ilvl="0" w:tplc="9C04AAEE">
      <w:numFmt w:val="bullet"/>
      <w:lvlText w:val="-"/>
      <w:lvlJc w:val="left"/>
      <w:pPr>
        <w:ind w:left="1429" w:hanging="360"/>
      </w:pPr>
      <w:rPr>
        <w:rFonts w:ascii="Times New Roman" w:eastAsia="Times New Roman" w:hAnsi="Times New Roman" w:cs="Times New Roman"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63B569EC"/>
    <w:multiLevelType w:val="hybridMultilevel"/>
    <w:tmpl w:val="68E2FD2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49045F1"/>
    <w:multiLevelType w:val="hybridMultilevel"/>
    <w:tmpl w:val="C89A68C0"/>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0842CC"/>
    <w:multiLevelType w:val="hybridMultilevel"/>
    <w:tmpl w:val="0AC6C4D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652E53CB"/>
    <w:multiLevelType w:val="hybridMultilevel"/>
    <w:tmpl w:val="B55C330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70877E0"/>
    <w:multiLevelType w:val="hybridMultilevel"/>
    <w:tmpl w:val="28C0D590"/>
    <w:lvl w:ilvl="0" w:tplc="4CEC4BAA">
      <w:start w:val="1"/>
      <w:numFmt w:val="lowerRoman"/>
      <w:lvlText w:val="%1)"/>
      <w:lvlJc w:val="left"/>
      <w:pPr>
        <w:ind w:left="1571" w:hanging="72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25" w15:restartNumberingAfterBreak="0">
    <w:nsid w:val="679A5C14"/>
    <w:multiLevelType w:val="hybridMultilevel"/>
    <w:tmpl w:val="06DC83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B3220B7"/>
    <w:multiLevelType w:val="hybridMultilevel"/>
    <w:tmpl w:val="8E46B87C"/>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0972865"/>
    <w:multiLevelType w:val="hybridMultilevel"/>
    <w:tmpl w:val="EE2EEF2E"/>
    <w:lvl w:ilvl="0" w:tplc="9C04AAEE">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15:restartNumberingAfterBreak="0">
    <w:nsid w:val="7E2D5467"/>
    <w:multiLevelType w:val="hybridMultilevel"/>
    <w:tmpl w:val="FBD2574C"/>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0"/>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7"/>
  </w:num>
  <w:num w:numId="7">
    <w:abstractNumId w:val="29"/>
  </w:num>
  <w:num w:numId="8">
    <w:abstractNumId w:val="10"/>
  </w:num>
  <w:num w:numId="9">
    <w:abstractNumId w:val="21"/>
  </w:num>
  <w:num w:numId="10">
    <w:abstractNumId w:val="20"/>
  </w:num>
  <w:num w:numId="11">
    <w:abstractNumId w:val="18"/>
  </w:num>
  <w:num w:numId="12">
    <w:abstractNumId w:val="2"/>
  </w:num>
  <w:num w:numId="13">
    <w:abstractNumId w:val="26"/>
  </w:num>
  <w:num w:numId="14">
    <w:abstractNumId w:val="23"/>
  </w:num>
  <w:num w:numId="15">
    <w:abstractNumId w:val="16"/>
  </w:num>
  <w:num w:numId="16">
    <w:abstractNumId w:val="12"/>
  </w:num>
  <w:num w:numId="17">
    <w:abstractNumId w:val="17"/>
  </w:num>
  <w:num w:numId="18">
    <w:abstractNumId w:val="27"/>
  </w:num>
  <w:num w:numId="19">
    <w:abstractNumId w:val="11"/>
  </w:num>
  <w:num w:numId="20">
    <w:abstractNumId w:val="25"/>
  </w:num>
  <w:num w:numId="21">
    <w:abstractNumId w:val="24"/>
  </w:num>
  <w:num w:numId="22">
    <w:abstractNumId w:val="9"/>
  </w:num>
  <w:num w:numId="23">
    <w:abstractNumId w:val="3"/>
  </w:num>
  <w:num w:numId="24">
    <w:abstractNumId w:val="14"/>
  </w:num>
  <w:num w:numId="25">
    <w:abstractNumId w:val="6"/>
  </w:num>
  <w:num w:numId="26">
    <w:abstractNumId w:val="19"/>
  </w:num>
  <w:num w:numId="27">
    <w:abstractNumId w:val="13"/>
  </w:num>
  <w:num w:numId="28">
    <w:abstractNumId w:val="4"/>
  </w:num>
  <w:num w:numId="29">
    <w:abstractNumId w:val="5"/>
  </w:num>
  <w:num w:numId="30">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812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4A"/>
    <w:rsid w:val="00002496"/>
    <w:rsid w:val="00002E0B"/>
    <w:rsid w:val="00003E17"/>
    <w:rsid w:val="00005840"/>
    <w:rsid w:val="00005854"/>
    <w:rsid w:val="00010F2A"/>
    <w:rsid w:val="000114B8"/>
    <w:rsid w:val="00011F1A"/>
    <w:rsid w:val="000129D1"/>
    <w:rsid w:val="00012C5B"/>
    <w:rsid w:val="00013413"/>
    <w:rsid w:val="00013D9E"/>
    <w:rsid w:val="00013FCD"/>
    <w:rsid w:val="00015F72"/>
    <w:rsid w:val="0002140B"/>
    <w:rsid w:val="00022720"/>
    <w:rsid w:val="00022DD3"/>
    <w:rsid w:val="00022E59"/>
    <w:rsid w:val="000251AD"/>
    <w:rsid w:val="000259E6"/>
    <w:rsid w:val="00025B97"/>
    <w:rsid w:val="00026215"/>
    <w:rsid w:val="000329D2"/>
    <w:rsid w:val="000339A7"/>
    <w:rsid w:val="00033B9A"/>
    <w:rsid w:val="00034B04"/>
    <w:rsid w:val="000356C6"/>
    <w:rsid w:val="00036460"/>
    <w:rsid w:val="00037106"/>
    <w:rsid w:val="0003751F"/>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72C8A"/>
    <w:rsid w:val="00075F4B"/>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B91"/>
    <w:rsid w:val="00137C8E"/>
    <w:rsid w:val="00140D66"/>
    <w:rsid w:val="00143DD0"/>
    <w:rsid w:val="00144445"/>
    <w:rsid w:val="00145D10"/>
    <w:rsid w:val="001469E7"/>
    <w:rsid w:val="00147C71"/>
    <w:rsid w:val="001508C3"/>
    <w:rsid w:val="00151E31"/>
    <w:rsid w:val="00154ACE"/>
    <w:rsid w:val="00156783"/>
    <w:rsid w:val="00160740"/>
    <w:rsid w:val="00161921"/>
    <w:rsid w:val="0016216D"/>
    <w:rsid w:val="001627EE"/>
    <w:rsid w:val="00162853"/>
    <w:rsid w:val="00164B36"/>
    <w:rsid w:val="00166D9C"/>
    <w:rsid w:val="00167259"/>
    <w:rsid w:val="0017086B"/>
    <w:rsid w:val="00174BF0"/>
    <w:rsid w:val="001763EC"/>
    <w:rsid w:val="00176673"/>
    <w:rsid w:val="00176873"/>
    <w:rsid w:val="0018034E"/>
    <w:rsid w:val="00181CF4"/>
    <w:rsid w:val="0018272D"/>
    <w:rsid w:val="001873F3"/>
    <w:rsid w:val="00187898"/>
    <w:rsid w:val="00191250"/>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310"/>
    <w:rsid w:val="00200FB8"/>
    <w:rsid w:val="002017B3"/>
    <w:rsid w:val="00202823"/>
    <w:rsid w:val="00207727"/>
    <w:rsid w:val="002146C6"/>
    <w:rsid w:val="00217A17"/>
    <w:rsid w:val="002211DB"/>
    <w:rsid w:val="00221374"/>
    <w:rsid w:val="00222760"/>
    <w:rsid w:val="0022591C"/>
    <w:rsid w:val="0022693B"/>
    <w:rsid w:val="00226A7A"/>
    <w:rsid w:val="00230D32"/>
    <w:rsid w:val="0024089C"/>
    <w:rsid w:val="002440EC"/>
    <w:rsid w:val="0024436C"/>
    <w:rsid w:val="00244F94"/>
    <w:rsid w:val="0024764A"/>
    <w:rsid w:val="00250309"/>
    <w:rsid w:val="00251A36"/>
    <w:rsid w:val="00251B4A"/>
    <w:rsid w:val="0025398F"/>
    <w:rsid w:val="002549D2"/>
    <w:rsid w:val="00260EB8"/>
    <w:rsid w:val="002623E9"/>
    <w:rsid w:val="0026289F"/>
    <w:rsid w:val="00264E7F"/>
    <w:rsid w:val="00265B04"/>
    <w:rsid w:val="00266103"/>
    <w:rsid w:val="00272CF0"/>
    <w:rsid w:val="0027433A"/>
    <w:rsid w:val="00274E15"/>
    <w:rsid w:val="0028193E"/>
    <w:rsid w:val="002833FD"/>
    <w:rsid w:val="0028362D"/>
    <w:rsid w:val="00293A87"/>
    <w:rsid w:val="00293B80"/>
    <w:rsid w:val="00296BAA"/>
    <w:rsid w:val="00297463"/>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D0FCF"/>
    <w:rsid w:val="002D242C"/>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2B5A"/>
    <w:rsid w:val="00313779"/>
    <w:rsid w:val="00313C5B"/>
    <w:rsid w:val="00315331"/>
    <w:rsid w:val="00315AC4"/>
    <w:rsid w:val="00315FF4"/>
    <w:rsid w:val="00316DDE"/>
    <w:rsid w:val="00320A2F"/>
    <w:rsid w:val="00320E77"/>
    <w:rsid w:val="0032133E"/>
    <w:rsid w:val="00323FDC"/>
    <w:rsid w:val="003247D0"/>
    <w:rsid w:val="00325E4A"/>
    <w:rsid w:val="0032655B"/>
    <w:rsid w:val="00331500"/>
    <w:rsid w:val="0033308D"/>
    <w:rsid w:val="0033455F"/>
    <w:rsid w:val="0033533B"/>
    <w:rsid w:val="00340B7D"/>
    <w:rsid w:val="003446EE"/>
    <w:rsid w:val="003463F2"/>
    <w:rsid w:val="003475F0"/>
    <w:rsid w:val="00351690"/>
    <w:rsid w:val="003549ED"/>
    <w:rsid w:val="00355A4B"/>
    <w:rsid w:val="00355E0B"/>
    <w:rsid w:val="00356EA9"/>
    <w:rsid w:val="0036148D"/>
    <w:rsid w:val="00361FB8"/>
    <w:rsid w:val="00363165"/>
    <w:rsid w:val="00364A6B"/>
    <w:rsid w:val="00364B9C"/>
    <w:rsid w:val="00365C30"/>
    <w:rsid w:val="003665F9"/>
    <w:rsid w:val="00371F8D"/>
    <w:rsid w:val="00372617"/>
    <w:rsid w:val="0037343D"/>
    <w:rsid w:val="00375929"/>
    <w:rsid w:val="00376955"/>
    <w:rsid w:val="0038014D"/>
    <w:rsid w:val="0038037D"/>
    <w:rsid w:val="00380678"/>
    <w:rsid w:val="00381DF5"/>
    <w:rsid w:val="003823B8"/>
    <w:rsid w:val="003826B0"/>
    <w:rsid w:val="00383A2C"/>
    <w:rsid w:val="003841A4"/>
    <w:rsid w:val="00385F45"/>
    <w:rsid w:val="003870C3"/>
    <w:rsid w:val="003902C3"/>
    <w:rsid w:val="0039144A"/>
    <w:rsid w:val="00392F59"/>
    <w:rsid w:val="0039439A"/>
    <w:rsid w:val="0039573C"/>
    <w:rsid w:val="003A1128"/>
    <w:rsid w:val="003A1898"/>
    <w:rsid w:val="003A472D"/>
    <w:rsid w:val="003A48FE"/>
    <w:rsid w:val="003A6519"/>
    <w:rsid w:val="003A6C3D"/>
    <w:rsid w:val="003A7660"/>
    <w:rsid w:val="003B2FD8"/>
    <w:rsid w:val="003B3632"/>
    <w:rsid w:val="003B4A2B"/>
    <w:rsid w:val="003B5DCA"/>
    <w:rsid w:val="003B5F68"/>
    <w:rsid w:val="003B74ED"/>
    <w:rsid w:val="003C0818"/>
    <w:rsid w:val="003C3191"/>
    <w:rsid w:val="003C5C37"/>
    <w:rsid w:val="003D01C9"/>
    <w:rsid w:val="003D1209"/>
    <w:rsid w:val="003D3431"/>
    <w:rsid w:val="003D41A5"/>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5835"/>
    <w:rsid w:val="0041679E"/>
    <w:rsid w:val="00416DD6"/>
    <w:rsid w:val="0041739C"/>
    <w:rsid w:val="004175F8"/>
    <w:rsid w:val="00420D72"/>
    <w:rsid w:val="004210D2"/>
    <w:rsid w:val="00421D81"/>
    <w:rsid w:val="004226FF"/>
    <w:rsid w:val="0042290F"/>
    <w:rsid w:val="004240A9"/>
    <w:rsid w:val="00425646"/>
    <w:rsid w:val="00431B2E"/>
    <w:rsid w:val="00431F94"/>
    <w:rsid w:val="00432267"/>
    <w:rsid w:val="00433ACB"/>
    <w:rsid w:val="0043424A"/>
    <w:rsid w:val="00434B62"/>
    <w:rsid w:val="0043562E"/>
    <w:rsid w:val="00437663"/>
    <w:rsid w:val="00440FBA"/>
    <w:rsid w:val="004410F7"/>
    <w:rsid w:val="004461F0"/>
    <w:rsid w:val="0045136E"/>
    <w:rsid w:val="0045168A"/>
    <w:rsid w:val="004517C9"/>
    <w:rsid w:val="0045229B"/>
    <w:rsid w:val="0045305E"/>
    <w:rsid w:val="0045353D"/>
    <w:rsid w:val="00453BEC"/>
    <w:rsid w:val="00453D61"/>
    <w:rsid w:val="00454675"/>
    <w:rsid w:val="00455107"/>
    <w:rsid w:val="004555AD"/>
    <w:rsid w:val="004561E9"/>
    <w:rsid w:val="00465167"/>
    <w:rsid w:val="00465187"/>
    <w:rsid w:val="00465F42"/>
    <w:rsid w:val="00470CC1"/>
    <w:rsid w:val="00472189"/>
    <w:rsid w:val="00472F12"/>
    <w:rsid w:val="00473784"/>
    <w:rsid w:val="00473A17"/>
    <w:rsid w:val="004751C8"/>
    <w:rsid w:val="004767FF"/>
    <w:rsid w:val="004819F1"/>
    <w:rsid w:val="00481D2C"/>
    <w:rsid w:val="004831E6"/>
    <w:rsid w:val="00483529"/>
    <w:rsid w:val="0048522E"/>
    <w:rsid w:val="004902FB"/>
    <w:rsid w:val="004914E8"/>
    <w:rsid w:val="004949B3"/>
    <w:rsid w:val="00495998"/>
    <w:rsid w:val="0049603F"/>
    <w:rsid w:val="00496401"/>
    <w:rsid w:val="00496CFB"/>
    <w:rsid w:val="004A1A5D"/>
    <w:rsid w:val="004A3C44"/>
    <w:rsid w:val="004A40DC"/>
    <w:rsid w:val="004A448D"/>
    <w:rsid w:val="004B5BB5"/>
    <w:rsid w:val="004B5BF7"/>
    <w:rsid w:val="004B630C"/>
    <w:rsid w:val="004C25AF"/>
    <w:rsid w:val="004C2E8E"/>
    <w:rsid w:val="004C2F4B"/>
    <w:rsid w:val="004D07F9"/>
    <w:rsid w:val="004D10E6"/>
    <w:rsid w:val="004D1B07"/>
    <w:rsid w:val="004D1C36"/>
    <w:rsid w:val="004D2E6A"/>
    <w:rsid w:val="004D3B49"/>
    <w:rsid w:val="004D491B"/>
    <w:rsid w:val="004D6D5F"/>
    <w:rsid w:val="004D7F17"/>
    <w:rsid w:val="004E222C"/>
    <w:rsid w:val="004E380A"/>
    <w:rsid w:val="004E7999"/>
    <w:rsid w:val="004F343E"/>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04E9"/>
    <w:rsid w:val="005421BC"/>
    <w:rsid w:val="005425E2"/>
    <w:rsid w:val="00543194"/>
    <w:rsid w:val="0054758B"/>
    <w:rsid w:val="00550147"/>
    <w:rsid w:val="005519E5"/>
    <w:rsid w:val="00551B3A"/>
    <w:rsid w:val="00552790"/>
    <w:rsid w:val="00552CA0"/>
    <w:rsid w:val="00553E8A"/>
    <w:rsid w:val="00556BA0"/>
    <w:rsid w:val="00557307"/>
    <w:rsid w:val="0056166B"/>
    <w:rsid w:val="00562618"/>
    <w:rsid w:val="00564840"/>
    <w:rsid w:val="005650D3"/>
    <w:rsid w:val="00567121"/>
    <w:rsid w:val="0057017B"/>
    <w:rsid w:val="005714D2"/>
    <w:rsid w:val="00571617"/>
    <w:rsid w:val="005717C2"/>
    <w:rsid w:val="005728C1"/>
    <w:rsid w:val="00576EB5"/>
    <w:rsid w:val="00582163"/>
    <w:rsid w:val="00584744"/>
    <w:rsid w:val="00586AC3"/>
    <w:rsid w:val="00590141"/>
    <w:rsid w:val="00593F29"/>
    <w:rsid w:val="00597195"/>
    <w:rsid w:val="005A6730"/>
    <w:rsid w:val="005A72D8"/>
    <w:rsid w:val="005B1A02"/>
    <w:rsid w:val="005B1BAA"/>
    <w:rsid w:val="005B320A"/>
    <w:rsid w:val="005B38BD"/>
    <w:rsid w:val="005B42CA"/>
    <w:rsid w:val="005B4DE6"/>
    <w:rsid w:val="005B55FB"/>
    <w:rsid w:val="005B7ECD"/>
    <w:rsid w:val="005C3876"/>
    <w:rsid w:val="005C5BAA"/>
    <w:rsid w:val="005D19F7"/>
    <w:rsid w:val="005D2C02"/>
    <w:rsid w:val="005D3242"/>
    <w:rsid w:val="005D442C"/>
    <w:rsid w:val="005D4A0F"/>
    <w:rsid w:val="005E0709"/>
    <w:rsid w:val="005E0C01"/>
    <w:rsid w:val="005E0CD6"/>
    <w:rsid w:val="005E45BC"/>
    <w:rsid w:val="005E6000"/>
    <w:rsid w:val="005E6F41"/>
    <w:rsid w:val="005F0016"/>
    <w:rsid w:val="005F0FA1"/>
    <w:rsid w:val="005F6E5C"/>
    <w:rsid w:val="005F6EAB"/>
    <w:rsid w:val="00604147"/>
    <w:rsid w:val="00607D63"/>
    <w:rsid w:val="006122D5"/>
    <w:rsid w:val="0061263B"/>
    <w:rsid w:val="006126EE"/>
    <w:rsid w:val="006128F0"/>
    <w:rsid w:val="00612F7B"/>
    <w:rsid w:val="00615580"/>
    <w:rsid w:val="006166C6"/>
    <w:rsid w:val="006168CA"/>
    <w:rsid w:val="006171C9"/>
    <w:rsid w:val="00620AA0"/>
    <w:rsid w:val="006265F5"/>
    <w:rsid w:val="00627B39"/>
    <w:rsid w:val="00630134"/>
    <w:rsid w:val="006326AC"/>
    <w:rsid w:val="00635447"/>
    <w:rsid w:val="00637C10"/>
    <w:rsid w:val="00637C61"/>
    <w:rsid w:val="00637CFD"/>
    <w:rsid w:val="00640E83"/>
    <w:rsid w:val="0064144C"/>
    <w:rsid w:val="00644B4F"/>
    <w:rsid w:val="00654D45"/>
    <w:rsid w:val="00655787"/>
    <w:rsid w:val="00656533"/>
    <w:rsid w:val="0065657C"/>
    <w:rsid w:val="0065728A"/>
    <w:rsid w:val="00657FCB"/>
    <w:rsid w:val="006600C7"/>
    <w:rsid w:val="006623EA"/>
    <w:rsid w:val="00662D60"/>
    <w:rsid w:val="006640D2"/>
    <w:rsid w:val="00664657"/>
    <w:rsid w:val="0066545A"/>
    <w:rsid w:val="00666A33"/>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4880"/>
    <w:rsid w:val="006C71F6"/>
    <w:rsid w:val="006D2BF9"/>
    <w:rsid w:val="006D5628"/>
    <w:rsid w:val="006E1081"/>
    <w:rsid w:val="006E1469"/>
    <w:rsid w:val="006F1AE8"/>
    <w:rsid w:val="006F2145"/>
    <w:rsid w:val="006F257A"/>
    <w:rsid w:val="006F29B2"/>
    <w:rsid w:val="006F3DA2"/>
    <w:rsid w:val="006F4835"/>
    <w:rsid w:val="006F5ECC"/>
    <w:rsid w:val="00702FBF"/>
    <w:rsid w:val="007114AD"/>
    <w:rsid w:val="00712BCB"/>
    <w:rsid w:val="0071580A"/>
    <w:rsid w:val="007158E8"/>
    <w:rsid w:val="00716B77"/>
    <w:rsid w:val="007201D5"/>
    <w:rsid w:val="00720220"/>
    <w:rsid w:val="00721991"/>
    <w:rsid w:val="007244B1"/>
    <w:rsid w:val="00726E3C"/>
    <w:rsid w:val="007311DA"/>
    <w:rsid w:val="00731C59"/>
    <w:rsid w:val="00732053"/>
    <w:rsid w:val="00732883"/>
    <w:rsid w:val="0073499D"/>
    <w:rsid w:val="007433AF"/>
    <w:rsid w:val="00744B92"/>
    <w:rsid w:val="007472F9"/>
    <w:rsid w:val="0075038A"/>
    <w:rsid w:val="00750C1F"/>
    <w:rsid w:val="00750F92"/>
    <w:rsid w:val="007525F8"/>
    <w:rsid w:val="00752D4E"/>
    <w:rsid w:val="00753374"/>
    <w:rsid w:val="0075350E"/>
    <w:rsid w:val="00755736"/>
    <w:rsid w:val="0075576A"/>
    <w:rsid w:val="00761A9A"/>
    <w:rsid w:val="00761AAB"/>
    <w:rsid w:val="00764DEB"/>
    <w:rsid w:val="00772269"/>
    <w:rsid w:val="00772682"/>
    <w:rsid w:val="00772D25"/>
    <w:rsid w:val="0077336F"/>
    <w:rsid w:val="00773885"/>
    <w:rsid w:val="007750AF"/>
    <w:rsid w:val="00780D14"/>
    <w:rsid w:val="00782F36"/>
    <w:rsid w:val="00784ED5"/>
    <w:rsid w:val="0078602E"/>
    <w:rsid w:val="00790ED6"/>
    <w:rsid w:val="00791D55"/>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364"/>
    <w:rsid w:val="007D7D84"/>
    <w:rsid w:val="007E1460"/>
    <w:rsid w:val="007E2004"/>
    <w:rsid w:val="007E6B12"/>
    <w:rsid w:val="007E6B9E"/>
    <w:rsid w:val="007F2DB2"/>
    <w:rsid w:val="007F2FA3"/>
    <w:rsid w:val="007F44D5"/>
    <w:rsid w:val="0080095B"/>
    <w:rsid w:val="00804B53"/>
    <w:rsid w:val="00810E6A"/>
    <w:rsid w:val="0081137C"/>
    <w:rsid w:val="00811AAB"/>
    <w:rsid w:val="00816754"/>
    <w:rsid w:val="0082372C"/>
    <w:rsid w:val="00824A55"/>
    <w:rsid w:val="0082703E"/>
    <w:rsid w:val="008275C2"/>
    <w:rsid w:val="00827B0B"/>
    <w:rsid w:val="008338E8"/>
    <w:rsid w:val="00836165"/>
    <w:rsid w:val="00840866"/>
    <w:rsid w:val="00840E27"/>
    <w:rsid w:val="00844242"/>
    <w:rsid w:val="0084514B"/>
    <w:rsid w:val="008467F9"/>
    <w:rsid w:val="00851E24"/>
    <w:rsid w:val="008523EC"/>
    <w:rsid w:val="008563C0"/>
    <w:rsid w:val="00857650"/>
    <w:rsid w:val="00863FA0"/>
    <w:rsid w:val="008642E8"/>
    <w:rsid w:val="008653EF"/>
    <w:rsid w:val="008746E6"/>
    <w:rsid w:val="00875051"/>
    <w:rsid w:val="00877B9A"/>
    <w:rsid w:val="00880E0A"/>
    <w:rsid w:val="00881B62"/>
    <w:rsid w:val="00881D3E"/>
    <w:rsid w:val="00881F5F"/>
    <w:rsid w:val="008836BE"/>
    <w:rsid w:val="008845AF"/>
    <w:rsid w:val="00886547"/>
    <w:rsid w:val="00886D86"/>
    <w:rsid w:val="00891588"/>
    <w:rsid w:val="00893DC4"/>
    <w:rsid w:val="008976BD"/>
    <w:rsid w:val="008A5605"/>
    <w:rsid w:val="008A6B1C"/>
    <w:rsid w:val="008A73C9"/>
    <w:rsid w:val="008B0843"/>
    <w:rsid w:val="008B4E0C"/>
    <w:rsid w:val="008C4052"/>
    <w:rsid w:val="008C4B13"/>
    <w:rsid w:val="008C6EB9"/>
    <w:rsid w:val="008D028F"/>
    <w:rsid w:val="008D09B0"/>
    <w:rsid w:val="008D10E2"/>
    <w:rsid w:val="008D4418"/>
    <w:rsid w:val="008D6113"/>
    <w:rsid w:val="008D7D1F"/>
    <w:rsid w:val="008E06CA"/>
    <w:rsid w:val="008E1C4C"/>
    <w:rsid w:val="008E2ACF"/>
    <w:rsid w:val="008E48DA"/>
    <w:rsid w:val="008E4F09"/>
    <w:rsid w:val="008E65F2"/>
    <w:rsid w:val="008E6CEE"/>
    <w:rsid w:val="008F0715"/>
    <w:rsid w:val="008F16AC"/>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3B65"/>
    <w:rsid w:val="009241E3"/>
    <w:rsid w:val="009258AC"/>
    <w:rsid w:val="00925BDD"/>
    <w:rsid w:val="00930104"/>
    <w:rsid w:val="0093305F"/>
    <w:rsid w:val="00933DC2"/>
    <w:rsid w:val="00934EA9"/>
    <w:rsid w:val="009375B4"/>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554"/>
    <w:rsid w:val="009A0DC6"/>
    <w:rsid w:val="009A43E6"/>
    <w:rsid w:val="009A45EF"/>
    <w:rsid w:val="009A69D1"/>
    <w:rsid w:val="009A6C3F"/>
    <w:rsid w:val="009A76D3"/>
    <w:rsid w:val="009B4498"/>
    <w:rsid w:val="009B5A29"/>
    <w:rsid w:val="009B5FF4"/>
    <w:rsid w:val="009B7143"/>
    <w:rsid w:val="009C200D"/>
    <w:rsid w:val="009C32F7"/>
    <w:rsid w:val="009C5490"/>
    <w:rsid w:val="009C5574"/>
    <w:rsid w:val="009C5AB6"/>
    <w:rsid w:val="009C7AF9"/>
    <w:rsid w:val="009D0F66"/>
    <w:rsid w:val="009D3824"/>
    <w:rsid w:val="009D6227"/>
    <w:rsid w:val="009D6D48"/>
    <w:rsid w:val="009E066C"/>
    <w:rsid w:val="009E086E"/>
    <w:rsid w:val="009E1E90"/>
    <w:rsid w:val="009E4E9C"/>
    <w:rsid w:val="009F0EAC"/>
    <w:rsid w:val="009F51D6"/>
    <w:rsid w:val="009F5541"/>
    <w:rsid w:val="009F5ED2"/>
    <w:rsid w:val="009F7C64"/>
    <w:rsid w:val="009F7CB0"/>
    <w:rsid w:val="00A01EB6"/>
    <w:rsid w:val="00A072A3"/>
    <w:rsid w:val="00A10891"/>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62A0F"/>
    <w:rsid w:val="00A7178B"/>
    <w:rsid w:val="00A7195F"/>
    <w:rsid w:val="00A74FD9"/>
    <w:rsid w:val="00A80661"/>
    <w:rsid w:val="00A81958"/>
    <w:rsid w:val="00A8394F"/>
    <w:rsid w:val="00A847A2"/>
    <w:rsid w:val="00A852A8"/>
    <w:rsid w:val="00A87109"/>
    <w:rsid w:val="00A8778E"/>
    <w:rsid w:val="00A95181"/>
    <w:rsid w:val="00A97F33"/>
    <w:rsid w:val="00AA41C8"/>
    <w:rsid w:val="00AA58BD"/>
    <w:rsid w:val="00AB150A"/>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3C3"/>
    <w:rsid w:val="00AE19BE"/>
    <w:rsid w:val="00AE4B9E"/>
    <w:rsid w:val="00AE59F3"/>
    <w:rsid w:val="00AE6729"/>
    <w:rsid w:val="00AF4421"/>
    <w:rsid w:val="00AF64AE"/>
    <w:rsid w:val="00AF6E2E"/>
    <w:rsid w:val="00B00074"/>
    <w:rsid w:val="00B01889"/>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65326"/>
    <w:rsid w:val="00B7227D"/>
    <w:rsid w:val="00B7402C"/>
    <w:rsid w:val="00B754F1"/>
    <w:rsid w:val="00B80D55"/>
    <w:rsid w:val="00B81A85"/>
    <w:rsid w:val="00B83C61"/>
    <w:rsid w:val="00B8485F"/>
    <w:rsid w:val="00B86FDD"/>
    <w:rsid w:val="00B9218D"/>
    <w:rsid w:val="00B93B21"/>
    <w:rsid w:val="00B9485A"/>
    <w:rsid w:val="00B95A89"/>
    <w:rsid w:val="00BA2C74"/>
    <w:rsid w:val="00BA3D7E"/>
    <w:rsid w:val="00BA4203"/>
    <w:rsid w:val="00BA51A5"/>
    <w:rsid w:val="00BA5C58"/>
    <w:rsid w:val="00BB100B"/>
    <w:rsid w:val="00BB1459"/>
    <w:rsid w:val="00BB1E28"/>
    <w:rsid w:val="00BB201D"/>
    <w:rsid w:val="00BB3424"/>
    <w:rsid w:val="00BB6AA3"/>
    <w:rsid w:val="00BB6AD0"/>
    <w:rsid w:val="00BC0DA7"/>
    <w:rsid w:val="00BC1A4E"/>
    <w:rsid w:val="00BC1CA9"/>
    <w:rsid w:val="00BC2B32"/>
    <w:rsid w:val="00BC44B6"/>
    <w:rsid w:val="00BC53FF"/>
    <w:rsid w:val="00BD054A"/>
    <w:rsid w:val="00BD3733"/>
    <w:rsid w:val="00BD483D"/>
    <w:rsid w:val="00BD4B2E"/>
    <w:rsid w:val="00BE313E"/>
    <w:rsid w:val="00BE36F3"/>
    <w:rsid w:val="00BE4854"/>
    <w:rsid w:val="00BE49E6"/>
    <w:rsid w:val="00BF02D9"/>
    <w:rsid w:val="00BF03BB"/>
    <w:rsid w:val="00BF06F9"/>
    <w:rsid w:val="00BF1CF7"/>
    <w:rsid w:val="00BF318A"/>
    <w:rsid w:val="00BF3AF3"/>
    <w:rsid w:val="00BF46CC"/>
    <w:rsid w:val="00BF5C5F"/>
    <w:rsid w:val="00C024FF"/>
    <w:rsid w:val="00C02598"/>
    <w:rsid w:val="00C06212"/>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3FE3"/>
    <w:rsid w:val="00C440FA"/>
    <w:rsid w:val="00C467CD"/>
    <w:rsid w:val="00C500D2"/>
    <w:rsid w:val="00C52240"/>
    <w:rsid w:val="00C5295F"/>
    <w:rsid w:val="00C52AA1"/>
    <w:rsid w:val="00C55CF2"/>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5C9E"/>
    <w:rsid w:val="00C77F94"/>
    <w:rsid w:val="00C77FBA"/>
    <w:rsid w:val="00C81C41"/>
    <w:rsid w:val="00C82273"/>
    <w:rsid w:val="00C82394"/>
    <w:rsid w:val="00C8389B"/>
    <w:rsid w:val="00C86659"/>
    <w:rsid w:val="00C86FEA"/>
    <w:rsid w:val="00C87F52"/>
    <w:rsid w:val="00C93E32"/>
    <w:rsid w:val="00CA2610"/>
    <w:rsid w:val="00CA39AE"/>
    <w:rsid w:val="00CA39D6"/>
    <w:rsid w:val="00CA48AB"/>
    <w:rsid w:val="00CA4B19"/>
    <w:rsid w:val="00CA4BF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9AF"/>
    <w:rsid w:val="00CF1DCD"/>
    <w:rsid w:val="00CF2ACA"/>
    <w:rsid w:val="00CF34E2"/>
    <w:rsid w:val="00CF354C"/>
    <w:rsid w:val="00CF3B7C"/>
    <w:rsid w:val="00D02341"/>
    <w:rsid w:val="00D0242C"/>
    <w:rsid w:val="00D028B4"/>
    <w:rsid w:val="00D040E5"/>
    <w:rsid w:val="00D06AE9"/>
    <w:rsid w:val="00D157BA"/>
    <w:rsid w:val="00D15C5C"/>
    <w:rsid w:val="00D15F58"/>
    <w:rsid w:val="00D170E1"/>
    <w:rsid w:val="00D17738"/>
    <w:rsid w:val="00D21A90"/>
    <w:rsid w:val="00D22685"/>
    <w:rsid w:val="00D26BFD"/>
    <w:rsid w:val="00D31329"/>
    <w:rsid w:val="00D34DD2"/>
    <w:rsid w:val="00D377CC"/>
    <w:rsid w:val="00D40657"/>
    <w:rsid w:val="00D4309B"/>
    <w:rsid w:val="00D45B26"/>
    <w:rsid w:val="00D46242"/>
    <w:rsid w:val="00D51AE5"/>
    <w:rsid w:val="00D52854"/>
    <w:rsid w:val="00D5329C"/>
    <w:rsid w:val="00D542EC"/>
    <w:rsid w:val="00D57910"/>
    <w:rsid w:val="00D61344"/>
    <w:rsid w:val="00D647E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C72C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7661"/>
    <w:rsid w:val="00E21082"/>
    <w:rsid w:val="00E23048"/>
    <w:rsid w:val="00E24C56"/>
    <w:rsid w:val="00E267A9"/>
    <w:rsid w:val="00E30A11"/>
    <w:rsid w:val="00E319F3"/>
    <w:rsid w:val="00E3276C"/>
    <w:rsid w:val="00E33626"/>
    <w:rsid w:val="00E34984"/>
    <w:rsid w:val="00E42C5B"/>
    <w:rsid w:val="00E4300C"/>
    <w:rsid w:val="00E46238"/>
    <w:rsid w:val="00E46DC5"/>
    <w:rsid w:val="00E47A10"/>
    <w:rsid w:val="00E50C44"/>
    <w:rsid w:val="00E50E83"/>
    <w:rsid w:val="00E525A6"/>
    <w:rsid w:val="00E5356B"/>
    <w:rsid w:val="00E54D9C"/>
    <w:rsid w:val="00E566B8"/>
    <w:rsid w:val="00E602D7"/>
    <w:rsid w:val="00E60BDD"/>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2F4"/>
    <w:rsid w:val="00EA393F"/>
    <w:rsid w:val="00EA4643"/>
    <w:rsid w:val="00EA66A3"/>
    <w:rsid w:val="00EB218F"/>
    <w:rsid w:val="00EB7A97"/>
    <w:rsid w:val="00EB7BD7"/>
    <w:rsid w:val="00EC0C03"/>
    <w:rsid w:val="00EC1377"/>
    <w:rsid w:val="00EC16D4"/>
    <w:rsid w:val="00EC23CD"/>
    <w:rsid w:val="00EC3544"/>
    <w:rsid w:val="00EC6203"/>
    <w:rsid w:val="00EC654E"/>
    <w:rsid w:val="00EC67AB"/>
    <w:rsid w:val="00EC6897"/>
    <w:rsid w:val="00EC6D8F"/>
    <w:rsid w:val="00EC7CE5"/>
    <w:rsid w:val="00ED24A0"/>
    <w:rsid w:val="00ED3ACE"/>
    <w:rsid w:val="00ED50B1"/>
    <w:rsid w:val="00ED5329"/>
    <w:rsid w:val="00ED618A"/>
    <w:rsid w:val="00ED7C56"/>
    <w:rsid w:val="00EE004B"/>
    <w:rsid w:val="00EE3A87"/>
    <w:rsid w:val="00EE3B6F"/>
    <w:rsid w:val="00EE557B"/>
    <w:rsid w:val="00EE5AD8"/>
    <w:rsid w:val="00EE6121"/>
    <w:rsid w:val="00EE693F"/>
    <w:rsid w:val="00EE7830"/>
    <w:rsid w:val="00EF046E"/>
    <w:rsid w:val="00EF739F"/>
    <w:rsid w:val="00F001F1"/>
    <w:rsid w:val="00F00F1B"/>
    <w:rsid w:val="00F0173D"/>
    <w:rsid w:val="00F02502"/>
    <w:rsid w:val="00F027A8"/>
    <w:rsid w:val="00F04313"/>
    <w:rsid w:val="00F06051"/>
    <w:rsid w:val="00F10DD5"/>
    <w:rsid w:val="00F11127"/>
    <w:rsid w:val="00F11ADB"/>
    <w:rsid w:val="00F1447F"/>
    <w:rsid w:val="00F20B42"/>
    <w:rsid w:val="00F22E01"/>
    <w:rsid w:val="00F23A2F"/>
    <w:rsid w:val="00F25B58"/>
    <w:rsid w:val="00F32FCA"/>
    <w:rsid w:val="00F3575D"/>
    <w:rsid w:val="00F35C24"/>
    <w:rsid w:val="00F3619E"/>
    <w:rsid w:val="00F36890"/>
    <w:rsid w:val="00F42EFD"/>
    <w:rsid w:val="00F46980"/>
    <w:rsid w:val="00F5227B"/>
    <w:rsid w:val="00F53F26"/>
    <w:rsid w:val="00F57C6F"/>
    <w:rsid w:val="00F64144"/>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2263"/>
    <w:rsid w:val="00FA48E2"/>
    <w:rsid w:val="00FA5B7B"/>
    <w:rsid w:val="00FA6A93"/>
    <w:rsid w:val="00FA7C84"/>
    <w:rsid w:val="00FB0002"/>
    <w:rsid w:val="00FB5868"/>
    <w:rsid w:val="00FB6021"/>
    <w:rsid w:val="00FB67A8"/>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shapelayout v:ext="edit">
      <o:idmap v:ext="edit" data="1"/>
    </o:shapelayout>
  </w:shapeDefaults>
  <w:decimalSymbol w:val=","/>
  <w:listSeparator w:val=";"/>
  <w14:docId w14:val="53CF4BB4"/>
  <w15:docId w15:val="{3432FC36-C6F9-4425-9227-A69E89FE7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34"/>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 w:type="paragraph" w:styleId="ad">
    <w:name w:val="footnote text"/>
    <w:basedOn w:val="a"/>
    <w:link w:val="Char4"/>
    <w:uiPriority w:val="99"/>
    <w:semiHidden/>
    <w:unhideWhenUsed/>
    <w:rsid w:val="00D02341"/>
    <w:pPr>
      <w:spacing w:after="0" w:line="240" w:lineRule="auto"/>
    </w:pPr>
    <w:rPr>
      <w:sz w:val="20"/>
      <w:szCs w:val="20"/>
    </w:rPr>
  </w:style>
  <w:style w:type="character" w:customStyle="1" w:styleId="Char4">
    <w:name w:val="Κείμενο υποσημείωσης Char"/>
    <w:basedOn w:val="a0"/>
    <w:link w:val="ad"/>
    <w:uiPriority w:val="99"/>
    <w:semiHidden/>
    <w:rsid w:val="00D02341"/>
    <w:rPr>
      <w:sz w:val="20"/>
      <w:szCs w:val="20"/>
    </w:rPr>
  </w:style>
  <w:style w:type="character" w:styleId="ae">
    <w:name w:val="footnote reference"/>
    <w:basedOn w:val="a0"/>
    <w:uiPriority w:val="99"/>
    <w:semiHidden/>
    <w:unhideWhenUsed/>
    <w:rsid w:val="00D023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338116635">
      <w:bodyDiv w:val="1"/>
      <w:marLeft w:val="0"/>
      <w:marRight w:val="0"/>
      <w:marTop w:val="0"/>
      <w:marBottom w:val="0"/>
      <w:divBdr>
        <w:top w:val="none" w:sz="0" w:space="0" w:color="auto"/>
        <w:left w:val="none" w:sz="0" w:space="0" w:color="auto"/>
        <w:bottom w:val="none" w:sz="0" w:space="0" w:color="auto"/>
        <w:right w:val="none" w:sz="0" w:space="0" w:color="auto"/>
      </w:divBdr>
    </w:div>
    <w:div w:id="596716282">
      <w:bodyDiv w:val="1"/>
      <w:marLeft w:val="0"/>
      <w:marRight w:val="0"/>
      <w:marTop w:val="0"/>
      <w:marBottom w:val="0"/>
      <w:divBdr>
        <w:top w:val="none" w:sz="0" w:space="0" w:color="auto"/>
        <w:left w:val="none" w:sz="0" w:space="0" w:color="auto"/>
        <w:bottom w:val="none" w:sz="0" w:space="0" w:color="auto"/>
        <w:right w:val="none" w:sz="0" w:space="0" w:color="auto"/>
      </w:divBdr>
    </w:div>
    <w:div w:id="673920591">
      <w:bodyDiv w:val="1"/>
      <w:marLeft w:val="0"/>
      <w:marRight w:val="0"/>
      <w:marTop w:val="0"/>
      <w:marBottom w:val="0"/>
      <w:divBdr>
        <w:top w:val="none" w:sz="0" w:space="0" w:color="auto"/>
        <w:left w:val="none" w:sz="0" w:space="0" w:color="auto"/>
        <w:bottom w:val="none" w:sz="0" w:space="0" w:color="auto"/>
        <w:right w:val="none" w:sz="0" w:space="0" w:color="auto"/>
      </w:divBdr>
    </w:div>
    <w:div w:id="694114417">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 w:id="20499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917A3-4AC5-4EE7-AAE8-E8A110679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1502</Words>
  <Characters>8878</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ΚΟΛΟΚΟΤΡΩΝΗ ΚΩΝΣΤΑΝΤΙΝΑ</cp:lastModifiedBy>
  <cp:revision>4</cp:revision>
  <cp:lastPrinted>2016-04-26T09:40:00Z</cp:lastPrinted>
  <dcterms:created xsi:type="dcterms:W3CDTF">2021-08-25T13:10:00Z</dcterms:created>
  <dcterms:modified xsi:type="dcterms:W3CDTF">2021-08-26T10:46:00Z</dcterms:modified>
</cp:coreProperties>
</file>